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FEC84" w14:textId="77777777" w:rsidR="00734B4B" w:rsidRPr="006B45EE" w:rsidRDefault="00734B4B" w:rsidP="006B45EE">
      <w:pPr>
        <w:pStyle w:val="Heading"/>
        <w:spacing w:before="4320"/>
        <w:rPr>
          <w:sz w:val="44"/>
          <w:szCs w:val="34"/>
          <w:lang w:val="en-GB"/>
        </w:rPr>
      </w:pPr>
      <w:r>
        <w:rPr>
          <w:sz w:val="44"/>
          <w:szCs w:val="34"/>
          <w:lang w:val="en-GB"/>
        </w:rPr>
        <w:t>Brokerage Pricing</w:t>
      </w:r>
    </w:p>
    <w:p w14:paraId="520B84B9" w14:textId="7DC23F5C" w:rsidR="002E0699" w:rsidRPr="00173CF1" w:rsidRDefault="00734B4B" w:rsidP="00173CF1">
      <w:pPr>
        <w:pStyle w:val="Heading"/>
        <w:rPr>
          <w:sz w:val="40"/>
          <w:szCs w:val="32"/>
        </w:rPr>
      </w:pPr>
      <w:r>
        <w:rPr>
          <w:sz w:val="40"/>
          <w:szCs w:val="32"/>
          <w:lang w:val="en-GB"/>
        </w:rPr>
        <w:t>Trading Price Sheet</w:t>
      </w:r>
      <w:r>
        <w:rPr>
          <w:lang w:val="en-GB"/>
        </w:rPr>
        <w:br w:type="page"/>
      </w:r>
    </w:p>
    <w:p w14:paraId="1EEF8AA6" w14:textId="77777777" w:rsidR="00C47FD1" w:rsidRPr="00773554" w:rsidRDefault="00C47FD1" w:rsidP="004A438E">
      <w:pPr>
        <w:pStyle w:val="1"/>
        <w:rPr>
          <w:lang w:val="en-GB"/>
        </w:rPr>
      </w:pPr>
      <w:r>
        <w:rPr>
          <w:lang w:val="en-GB"/>
        </w:rPr>
        <w:lastRenderedPageBreak/>
        <w:t>Trading Price Sheet</w:t>
      </w:r>
    </w:p>
    <w:p w14:paraId="66A6B9D3" w14:textId="3DF98D56" w:rsidR="00CB22D5" w:rsidRPr="00D82689" w:rsidRDefault="00984775" w:rsidP="00C841AA">
      <w:pPr>
        <w:jc w:val="both"/>
      </w:pPr>
      <w:r>
        <w:t>This fees proposal is supplemental to and forms part of your Client Agreement with MAQO Ltd. This pricing schedule may be reviewed from time to time as the relationship evolved and is subject to change.</w:t>
      </w:r>
    </w:p>
    <w:p w14:paraId="2533C459" w14:textId="77777777" w:rsidR="00984775" w:rsidRDefault="00984775" w:rsidP="004A438E">
      <w:pPr>
        <w:pStyle w:val="2"/>
        <w:rPr>
          <w:lang w:val="ru-RU"/>
        </w:rPr>
      </w:pPr>
      <w:r>
        <w:t>Derivatives Markets</w:t>
      </w:r>
      <w:bookmarkStart w:id="0" w:name="_Ref188539623"/>
      <w:r>
        <w:rPr>
          <w:rStyle w:val="af5"/>
        </w:rPr>
        <w:endnoteReference w:id="2"/>
      </w:r>
      <w:bookmarkEnd w:id="0"/>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567"/>
        <w:gridCol w:w="3828"/>
        <w:gridCol w:w="5244"/>
      </w:tblGrid>
      <w:tr w:rsidR="00EA2499" w:rsidRPr="004A438E" w14:paraId="6EB33C2E" w14:textId="77777777" w:rsidTr="00A000B1">
        <w:trPr>
          <w:trHeight w:val="280"/>
        </w:trPr>
        <w:tc>
          <w:tcPr>
            <w:tcW w:w="567" w:type="dxa"/>
          </w:tcPr>
          <w:p w14:paraId="4E004500" w14:textId="77777777" w:rsidR="00EA2499" w:rsidRPr="004A438E" w:rsidRDefault="00EA2499" w:rsidP="00B14713">
            <w:pPr>
              <w:jc w:val="center"/>
              <w:rPr>
                <w:b/>
                <w:bCs/>
              </w:rPr>
            </w:pPr>
            <w:r>
              <w:rPr>
                <w:b/>
                <w:bCs/>
              </w:rPr>
              <w:t>No</w:t>
            </w:r>
          </w:p>
        </w:tc>
        <w:tc>
          <w:tcPr>
            <w:tcW w:w="3828" w:type="dxa"/>
            <w:vAlign w:val="center"/>
          </w:tcPr>
          <w:p w14:paraId="7B63F374" w14:textId="77777777" w:rsidR="00EA2499" w:rsidRPr="004A438E" w:rsidRDefault="00EA2499" w:rsidP="00B14713">
            <w:pPr>
              <w:jc w:val="center"/>
              <w:rPr>
                <w:b/>
                <w:bCs/>
              </w:rPr>
            </w:pPr>
            <w:r>
              <w:rPr>
                <w:b/>
                <w:bCs/>
              </w:rPr>
              <w:t>Market</w:t>
            </w:r>
          </w:p>
        </w:tc>
        <w:tc>
          <w:tcPr>
            <w:tcW w:w="5244" w:type="dxa"/>
            <w:vAlign w:val="center"/>
          </w:tcPr>
          <w:p w14:paraId="447F9CE8" w14:textId="77777777" w:rsidR="00EA2499" w:rsidRPr="004A438E" w:rsidRDefault="00EA2499" w:rsidP="00B14713">
            <w:pPr>
              <w:jc w:val="center"/>
              <w:rPr>
                <w:b/>
                <w:bCs/>
              </w:rPr>
            </w:pPr>
            <w:r>
              <w:rPr>
                <w:b/>
                <w:bCs/>
              </w:rPr>
              <w:t>Fees</w:t>
            </w:r>
            <w:r>
              <w:rPr>
                <w:rStyle w:val="af5"/>
                <w:b/>
                <w:bCs/>
              </w:rPr>
              <w:endnoteReference w:id="3"/>
            </w:r>
          </w:p>
        </w:tc>
      </w:tr>
      <w:tr w:rsidR="00EA2499" w:rsidRPr="00D82689" w14:paraId="6E04D681" w14:textId="77777777" w:rsidTr="00A000B1">
        <w:trPr>
          <w:trHeight w:val="280"/>
        </w:trPr>
        <w:tc>
          <w:tcPr>
            <w:tcW w:w="567" w:type="dxa"/>
          </w:tcPr>
          <w:p w14:paraId="17D22500" w14:textId="77777777" w:rsidR="00EA2499" w:rsidRPr="00D82689" w:rsidRDefault="00EA2499" w:rsidP="00B14713">
            <w:pPr>
              <w:jc w:val="center"/>
            </w:pPr>
            <w:r>
              <w:t>2</w:t>
            </w:r>
          </w:p>
        </w:tc>
        <w:tc>
          <w:tcPr>
            <w:tcW w:w="3828" w:type="dxa"/>
            <w:vAlign w:val="center"/>
          </w:tcPr>
          <w:p w14:paraId="73E228BE" w14:textId="77777777" w:rsidR="00EA2499" w:rsidRPr="00D82689" w:rsidRDefault="00EA2499" w:rsidP="00B14713">
            <w:r>
              <w:t>Futures and options available by CQG</w:t>
            </w:r>
          </w:p>
        </w:tc>
        <w:tc>
          <w:tcPr>
            <w:tcW w:w="5244" w:type="dxa"/>
            <w:vAlign w:val="center"/>
          </w:tcPr>
          <w:p w14:paraId="4642069F" w14:textId="77777777" w:rsidR="00EA2499" w:rsidRPr="00D82689" w:rsidRDefault="00EA2499" w:rsidP="00B14713">
            <w:r>
              <w:t>1</w:t>
            </w:r>
            <w:r>
              <w:rPr>
                <w:lang w:val="ru-RU"/>
              </w:rPr>
              <w:t>.5</w:t>
            </w:r>
            <w:r>
              <w:t xml:space="preserve"> USD per Contract</w:t>
            </w:r>
          </w:p>
        </w:tc>
      </w:tr>
      <w:tr w:rsidR="00EA2499" w:rsidRPr="00D82689" w14:paraId="542D5855" w14:textId="77777777" w:rsidTr="00A000B1">
        <w:trPr>
          <w:trHeight w:val="280"/>
        </w:trPr>
        <w:tc>
          <w:tcPr>
            <w:tcW w:w="567" w:type="dxa"/>
          </w:tcPr>
          <w:p w14:paraId="4AA5FD69" w14:textId="77777777" w:rsidR="00EA2499" w:rsidRDefault="00EA2499" w:rsidP="00B14713">
            <w:pPr>
              <w:jc w:val="center"/>
            </w:pPr>
            <w:r>
              <w:t>3</w:t>
            </w:r>
          </w:p>
        </w:tc>
        <w:tc>
          <w:tcPr>
            <w:tcW w:w="3828" w:type="dxa"/>
            <w:vAlign w:val="center"/>
          </w:tcPr>
          <w:p w14:paraId="5CF78A39" w14:textId="77777777" w:rsidR="00EA2499" w:rsidRPr="00D82689" w:rsidRDefault="00EA2499" w:rsidP="00B14713">
            <w:r>
              <w:t>US Stock Options</w:t>
            </w:r>
          </w:p>
        </w:tc>
        <w:tc>
          <w:tcPr>
            <w:tcW w:w="5244" w:type="dxa"/>
            <w:vAlign w:val="center"/>
          </w:tcPr>
          <w:p w14:paraId="1F7E87D2" w14:textId="77777777" w:rsidR="00EA2499" w:rsidRPr="00D82689" w:rsidRDefault="00EA2499" w:rsidP="00B14713">
            <w:r>
              <w:t xml:space="preserve">0.70 USD per </w:t>
            </w:r>
            <w:r>
              <w:rPr>
                <w:lang w:val="ru-RU"/>
              </w:rPr>
              <w:t>С</w:t>
            </w:r>
            <w:r>
              <w:t>ontract</w:t>
            </w:r>
          </w:p>
        </w:tc>
      </w:tr>
    </w:tbl>
    <w:p w14:paraId="49454793" w14:textId="77777777" w:rsidR="00584A73" w:rsidRPr="00D82689" w:rsidRDefault="00584A73" w:rsidP="00584A73">
      <w:pPr>
        <w:pStyle w:val="2"/>
      </w:pPr>
      <w:bookmarkStart w:id="1" w:name="__RefHeading___Toc274746_2224848205"/>
      <w:bookmarkStart w:id="2" w:name="_Toc494120382"/>
      <w:bookmarkStart w:id="3" w:name="_Toc494120410"/>
      <w:bookmarkStart w:id="4" w:name="_Toc494120436"/>
      <w:bookmarkStart w:id="5" w:name="_Toc106378670"/>
      <w:bookmarkStart w:id="6" w:name="_Toc494120354"/>
      <w:bookmarkStart w:id="7" w:name="_Toc494120979"/>
      <w:bookmarkStart w:id="8" w:name="_Toc106378672"/>
      <w:bookmarkStart w:id="9" w:name="_Toc494120325"/>
      <w:bookmarkStart w:id="10" w:name="_Toc106378674"/>
      <w:bookmarkStart w:id="11" w:name="_Toc106378662"/>
      <w:bookmarkStart w:id="12" w:name="_Toc106378669"/>
      <w:bookmarkStart w:id="13" w:name="_Toc106378675"/>
      <w:bookmarkStart w:id="14" w:name="_Toc106378676"/>
      <w:bookmarkStart w:id="15" w:name="_Toc106378671"/>
      <w:bookmarkStart w:id="16" w:name="_Toc106378677"/>
      <w:bookmarkStart w:id="17" w:name="_Toc106378673"/>
      <w:bookmarkStart w:id="18" w:name="_Toc494119855"/>
      <w:bookmarkStart w:id="19" w:name="_Toc106378659"/>
      <w:bookmarkStart w:id="20" w:name="_Toc494119809"/>
      <w:bookmarkStart w:id="21" w:name="_Toc106378660"/>
      <w:bookmarkStart w:id="22" w:name="_Toc494120351"/>
      <w:bookmarkStart w:id="23" w:name="_Toc494120379"/>
      <w:bookmarkStart w:id="24" w:name="_Toc494120007"/>
      <w:bookmarkStart w:id="25" w:name="_Toc494117282"/>
      <w:bookmarkStart w:id="26" w:name="_Toc494120433"/>
      <w:bookmarkStart w:id="27" w:name="_Toc494117553"/>
      <w:bookmarkStart w:id="28" w:name="_Toc494120322"/>
      <w:bookmarkStart w:id="29" w:name="_Toc494117261"/>
      <w:bookmarkStart w:id="30" w:name="_Toc494119832"/>
      <w:bookmarkStart w:id="31" w:name="_Toc494120976"/>
      <w:bookmarkStart w:id="32" w:name="_Toc494120407"/>
      <w:bookmarkStart w:id="33" w:name="_Toc106378661"/>
      <w:bookmarkStart w:id="34" w:name="__RefHeading___Toc274686_222484820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t>Stock Market</w:t>
      </w:r>
      <w:bookmarkStart w:id="35" w:name="_Toc1743754527"/>
      <w:bookmarkStart w:id="36" w:name="__RefHeading___Toc275051_2224848205"/>
      <w:bookmarkEnd w:id="35"/>
      <w:bookmarkEnd w:id="36"/>
      <w:r>
        <w:t>s</w:t>
      </w:r>
      <w:r>
        <w:fldChar w:fldCharType="begin"/>
      </w:r>
      <w:r>
        <w:instrText xml:space="preserve"> NOTEREF _Ref188539623 \f \h </w:instrText>
      </w:r>
      <w:r>
        <w:fldChar w:fldCharType="separate"/>
      </w:r>
      <w:r>
        <w:rPr>
          <w:rStyle w:val="af5"/>
        </w:rPr>
        <w:t>1</w:t>
      </w:r>
      <w:r>
        <w:fldChar w:fldCharType="end"/>
      </w:r>
    </w:p>
    <w:p w14:paraId="63366620" w14:textId="77777777" w:rsidR="00584A73" w:rsidRPr="004A438E" w:rsidRDefault="00584A73" w:rsidP="00CF1B2C">
      <w:pPr>
        <w:pStyle w:val="3"/>
        <w:numPr>
          <w:ilvl w:val="1"/>
          <w:numId w:val="14"/>
        </w:numPr>
      </w:pPr>
      <w:bookmarkStart w:id="37" w:name="_Hlk59448448"/>
      <w:bookmarkStart w:id="38" w:name="__RefHeading___Toc274680_2224848205"/>
      <w:bookmarkStart w:id="39" w:name="_Toc2057448582"/>
      <w:bookmarkEnd w:id="37"/>
      <w:bookmarkEnd w:id="38"/>
      <w:r>
        <w:rPr>
          <w:lang w:val="ru-RU"/>
        </w:rPr>
        <w:t>US</w:t>
      </w:r>
      <w:r>
        <w:t xml:space="preserve"> Stock Markets</w:t>
      </w:r>
    </w:p>
    <w:tbl>
      <w:tblPr>
        <w:tblW w:w="9639" w:type="dxa"/>
        <w:tblInd w:w="-5" w:type="dxa"/>
        <w:tblLayout w:type="fixed"/>
        <w:tblCellMar>
          <w:top w:w="57" w:type="dxa"/>
          <w:left w:w="57" w:type="dxa"/>
          <w:bottom w:w="57" w:type="dxa"/>
          <w:right w:w="57" w:type="dxa"/>
        </w:tblCellMar>
        <w:tblLook w:val="0000" w:firstRow="0" w:lastRow="0" w:firstColumn="0" w:lastColumn="0" w:noHBand="0" w:noVBand="0"/>
      </w:tblPr>
      <w:tblGrid>
        <w:gridCol w:w="567"/>
        <w:gridCol w:w="3402"/>
        <w:gridCol w:w="5670"/>
      </w:tblGrid>
      <w:tr w:rsidR="00584A73" w:rsidRPr="004A438E" w14:paraId="32D6E32D" w14:textId="77777777" w:rsidTr="00B14713">
        <w:trPr>
          <w:trHeight w:val="12"/>
        </w:trPr>
        <w:tc>
          <w:tcPr>
            <w:tcW w:w="567" w:type="dxa"/>
            <w:tcBorders>
              <w:top w:val="single" w:sz="4" w:space="0" w:color="000000"/>
              <w:left w:val="single" w:sz="4" w:space="0" w:color="000000"/>
              <w:bottom w:val="single" w:sz="4" w:space="0" w:color="000000"/>
              <w:right w:val="single" w:sz="4" w:space="0" w:color="000000"/>
            </w:tcBorders>
            <w:vAlign w:val="center"/>
          </w:tcPr>
          <w:p w14:paraId="38F8CA78" w14:textId="77777777" w:rsidR="00584A73" w:rsidRPr="004A438E" w:rsidRDefault="00584A73" w:rsidP="00B14713">
            <w:pPr>
              <w:jc w:val="center"/>
              <w:rPr>
                <w:b/>
                <w:bCs/>
              </w:rPr>
            </w:pPr>
            <w:r>
              <w:rPr>
                <w:b/>
                <w:bCs/>
              </w:rPr>
              <w:t>No</w:t>
            </w:r>
          </w:p>
        </w:tc>
        <w:tc>
          <w:tcPr>
            <w:tcW w:w="3402" w:type="dxa"/>
            <w:tcBorders>
              <w:top w:val="single" w:sz="4" w:space="0" w:color="000000"/>
              <w:left w:val="single" w:sz="4" w:space="0" w:color="000000"/>
              <w:bottom w:val="single" w:sz="4" w:space="0" w:color="auto"/>
              <w:right w:val="single" w:sz="4" w:space="0" w:color="000000"/>
            </w:tcBorders>
            <w:vAlign w:val="center"/>
          </w:tcPr>
          <w:p w14:paraId="3B7C2633" w14:textId="77777777" w:rsidR="00584A73" w:rsidRPr="004A438E" w:rsidRDefault="00584A73" w:rsidP="00B14713">
            <w:pPr>
              <w:jc w:val="center"/>
              <w:rPr>
                <w:b/>
                <w:bCs/>
              </w:rPr>
            </w:pPr>
            <w:r>
              <w:rPr>
                <w:b/>
                <w:bCs/>
              </w:rPr>
              <w:t>Type of securities/transaction</w:t>
            </w:r>
          </w:p>
        </w:tc>
        <w:tc>
          <w:tcPr>
            <w:tcW w:w="5670" w:type="dxa"/>
            <w:tcBorders>
              <w:top w:val="single" w:sz="4" w:space="0" w:color="000000"/>
              <w:left w:val="single" w:sz="4" w:space="0" w:color="000000"/>
              <w:bottom w:val="single" w:sz="4" w:space="0" w:color="auto"/>
              <w:right w:val="single" w:sz="4" w:space="0" w:color="000000"/>
            </w:tcBorders>
            <w:vAlign w:val="center"/>
          </w:tcPr>
          <w:p w14:paraId="24D24CBE" w14:textId="77777777" w:rsidR="00584A73" w:rsidRPr="004A438E" w:rsidRDefault="00584A73" w:rsidP="00B14713">
            <w:pPr>
              <w:jc w:val="center"/>
              <w:rPr>
                <w:b/>
                <w:bCs/>
              </w:rPr>
            </w:pPr>
            <w:r>
              <w:rPr>
                <w:b/>
                <w:bCs/>
              </w:rPr>
              <w:t>Fees</w:t>
            </w:r>
          </w:p>
        </w:tc>
      </w:tr>
      <w:tr w:rsidR="00584A73" w:rsidRPr="00D82689" w14:paraId="1407DE6F" w14:textId="77777777" w:rsidTr="00B14713">
        <w:trPr>
          <w:trHeight w:val="182"/>
        </w:trPr>
        <w:tc>
          <w:tcPr>
            <w:tcW w:w="567" w:type="dxa"/>
            <w:tcBorders>
              <w:top w:val="single" w:sz="4" w:space="0" w:color="000000"/>
              <w:left w:val="single" w:sz="4" w:space="0" w:color="000000"/>
              <w:bottom w:val="single" w:sz="4" w:space="0" w:color="000000"/>
              <w:right w:val="single" w:sz="4" w:space="0" w:color="auto"/>
            </w:tcBorders>
            <w:vAlign w:val="center"/>
          </w:tcPr>
          <w:p w14:paraId="78D5FA21" w14:textId="77777777" w:rsidR="00584A73" w:rsidRPr="00D82689" w:rsidRDefault="00584A73" w:rsidP="00B14713">
            <w:pPr>
              <w:jc w:val="center"/>
            </w:pPr>
            <w:r>
              <w:t>1</w:t>
            </w:r>
          </w:p>
        </w:tc>
        <w:tc>
          <w:tcPr>
            <w:tcW w:w="3402" w:type="dxa"/>
            <w:tcBorders>
              <w:top w:val="single" w:sz="4" w:space="0" w:color="auto"/>
              <w:left w:val="single" w:sz="4" w:space="0" w:color="auto"/>
              <w:bottom w:val="single" w:sz="4" w:space="0" w:color="auto"/>
              <w:right w:val="single" w:sz="4" w:space="0" w:color="auto"/>
            </w:tcBorders>
            <w:vAlign w:val="center"/>
          </w:tcPr>
          <w:p w14:paraId="43E9BA73" w14:textId="77777777" w:rsidR="00584A73" w:rsidRPr="00D82689" w:rsidRDefault="00584A73" w:rsidP="00B14713">
            <w:r>
              <w:t>US Equities</w:t>
            </w:r>
          </w:p>
        </w:tc>
        <w:tc>
          <w:tcPr>
            <w:tcW w:w="5670" w:type="dxa"/>
            <w:tcBorders>
              <w:top w:val="single" w:sz="4" w:space="0" w:color="auto"/>
              <w:left w:val="single" w:sz="4" w:space="0" w:color="auto"/>
              <w:bottom w:val="single" w:sz="4" w:space="0" w:color="auto"/>
              <w:right w:val="single" w:sz="4" w:space="0" w:color="auto"/>
            </w:tcBorders>
            <w:vAlign w:val="center"/>
          </w:tcPr>
          <w:p w14:paraId="78A2AE5B" w14:textId="77777777" w:rsidR="00584A73" w:rsidRPr="002A510B" w:rsidRDefault="00584A73" w:rsidP="00B14713">
            <w:r>
              <w:t>0.006 USD per share, minimum ticket charge per order of 1 USD</w:t>
            </w:r>
          </w:p>
        </w:tc>
      </w:tr>
    </w:tbl>
    <w:p w14:paraId="0CED0817" w14:textId="77777777" w:rsidR="00DE37B0" w:rsidRPr="004A438E" w:rsidRDefault="00DE37B0" w:rsidP="00CF1B2C">
      <w:pPr>
        <w:pStyle w:val="3"/>
        <w:numPr>
          <w:ilvl w:val="1"/>
          <w:numId w:val="14"/>
        </w:numPr>
      </w:pPr>
      <w:r>
        <w:rPr>
          <w:lang w:val="ru-RU"/>
        </w:rPr>
        <w:t>I</w:t>
      </w:r>
      <w:r>
        <w:t>TS Stock Market</w:t>
      </w:r>
    </w:p>
    <w:tbl>
      <w:tblPr>
        <w:tblW w:w="9639" w:type="dxa"/>
        <w:tblInd w:w="-5" w:type="dxa"/>
        <w:tblLayout w:type="fixed"/>
        <w:tblCellMar>
          <w:top w:w="57" w:type="dxa"/>
          <w:left w:w="57" w:type="dxa"/>
          <w:bottom w:w="57" w:type="dxa"/>
          <w:right w:w="57" w:type="dxa"/>
        </w:tblCellMar>
        <w:tblLook w:val="0000" w:firstRow="0" w:lastRow="0" w:firstColumn="0" w:lastColumn="0" w:noHBand="0" w:noVBand="0"/>
      </w:tblPr>
      <w:tblGrid>
        <w:gridCol w:w="567"/>
        <w:gridCol w:w="3402"/>
        <w:gridCol w:w="5670"/>
      </w:tblGrid>
      <w:tr w:rsidR="00DE37B0" w:rsidRPr="004A438E" w14:paraId="5E4A3485" w14:textId="77777777" w:rsidTr="00E03D6E">
        <w:trPr>
          <w:trHeight w:val="12"/>
        </w:trPr>
        <w:tc>
          <w:tcPr>
            <w:tcW w:w="567" w:type="dxa"/>
            <w:tcBorders>
              <w:top w:val="single" w:sz="4" w:space="0" w:color="000000"/>
              <w:left w:val="single" w:sz="4" w:space="0" w:color="000000"/>
              <w:bottom w:val="single" w:sz="4" w:space="0" w:color="000000"/>
              <w:right w:val="single" w:sz="4" w:space="0" w:color="000000"/>
            </w:tcBorders>
            <w:vAlign w:val="center"/>
          </w:tcPr>
          <w:p w14:paraId="7C5C23EF" w14:textId="77777777" w:rsidR="00DE37B0" w:rsidRPr="004A438E" w:rsidRDefault="00DE37B0" w:rsidP="00E03D6E">
            <w:pPr>
              <w:jc w:val="center"/>
              <w:rPr>
                <w:b/>
                <w:bCs/>
              </w:rPr>
            </w:pPr>
            <w:r>
              <w:rPr>
                <w:b/>
                <w:bCs/>
              </w:rPr>
              <w:t>No</w:t>
            </w:r>
          </w:p>
        </w:tc>
        <w:tc>
          <w:tcPr>
            <w:tcW w:w="3402" w:type="dxa"/>
            <w:tcBorders>
              <w:top w:val="single" w:sz="4" w:space="0" w:color="000000"/>
              <w:left w:val="single" w:sz="4" w:space="0" w:color="000000"/>
              <w:bottom w:val="single" w:sz="4" w:space="0" w:color="auto"/>
              <w:right w:val="single" w:sz="4" w:space="0" w:color="000000"/>
            </w:tcBorders>
            <w:vAlign w:val="center"/>
          </w:tcPr>
          <w:p w14:paraId="75DB6FE6" w14:textId="77777777" w:rsidR="00DE37B0" w:rsidRPr="004A438E" w:rsidRDefault="00DE37B0" w:rsidP="00E03D6E">
            <w:pPr>
              <w:jc w:val="center"/>
              <w:rPr>
                <w:b/>
                <w:bCs/>
              </w:rPr>
            </w:pPr>
            <w:r>
              <w:rPr>
                <w:b/>
                <w:bCs/>
              </w:rPr>
              <w:t>Type of securities/transaction</w:t>
            </w:r>
          </w:p>
        </w:tc>
        <w:tc>
          <w:tcPr>
            <w:tcW w:w="5670" w:type="dxa"/>
            <w:tcBorders>
              <w:top w:val="single" w:sz="4" w:space="0" w:color="000000"/>
              <w:left w:val="single" w:sz="4" w:space="0" w:color="000000"/>
              <w:bottom w:val="single" w:sz="4" w:space="0" w:color="auto"/>
              <w:right w:val="single" w:sz="4" w:space="0" w:color="000000"/>
            </w:tcBorders>
            <w:vAlign w:val="center"/>
          </w:tcPr>
          <w:p w14:paraId="7E60AFEE" w14:textId="77777777" w:rsidR="00DE37B0" w:rsidRPr="004A438E" w:rsidRDefault="00DE37B0" w:rsidP="00E03D6E">
            <w:pPr>
              <w:jc w:val="center"/>
              <w:rPr>
                <w:b/>
                <w:bCs/>
              </w:rPr>
            </w:pPr>
            <w:r>
              <w:rPr>
                <w:b/>
                <w:bCs/>
              </w:rPr>
              <w:t>Fees</w:t>
            </w:r>
          </w:p>
        </w:tc>
      </w:tr>
      <w:tr w:rsidR="00DE37B0" w:rsidRPr="00D82689" w14:paraId="4EA5B9BF" w14:textId="77777777" w:rsidTr="00E03D6E">
        <w:trPr>
          <w:trHeight w:val="182"/>
        </w:trPr>
        <w:tc>
          <w:tcPr>
            <w:tcW w:w="567" w:type="dxa"/>
            <w:tcBorders>
              <w:top w:val="single" w:sz="4" w:space="0" w:color="000000"/>
              <w:left w:val="single" w:sz="4" w:space="0" w:color="000000"/>
              <w:bottom w:val="single" w:sz="4" w:space="0" w:color="000000"/>
              <w:right w:val="single" w:sz="4" w:space="0" w:color="auto"/>
            </w:tcBorders>
            <w:vAlign w:val="center"/>
          </w:tcPr>
          <w:p w14:paraId="5FCDC448" w14:textId="77777777" w:rsidR="00DE37B0" w:rsidRPr="00D82689" w:rsidRDefault="00DE37B0" w:rsidP="00E03D6E">
            <w:pPr>
              <w:jc w:val="center"/>
            </w:pPr>
            <w:r>
              <w:t>1</w:t>
            </w:r>
          </w:p>
        </w:tc>
        <w:tc>
          <w:tcPr>
            <w:tcW w:w="3402" w:type="dxa"/>
            <w:tcBorders>
              <w:top w:val="single" w:sz="4" w:space="0" w:color="auto"/>
              <w:left w:val="single" w:sz="4" w:space="0" w:color="auto"/>
              <w:bottom w:val="single" w:sz="4" w:space="0" w:color="auto"/>
              <w:right w:val="single" w:sz="4" w:space="0" w:color="auto"/>
            </w:tcBorders>
            <w:vAlign w:val="center"/>
          </w:tcPr>
          <w:p w14:paraId="73EFE28F" w14:textId="77777777" w:rsidR="00DE37B0" w:rsidRPr="00D82689" w:rsidRDefault="0025663B" w:rsidP="00E03D6E">
            <w:r>
              <w:t>Any securities</w:t>
            </w:r>
          </w:p>
        </w:tc>
        <w:tc>
          <w:tcPr>
            <w:tcW w:w="5670" w:type="dxa"/>
            <w:tcBorders>
              <w:top w:val="single" w:sz="4" w:space="0" w:color="auto"/>
              <w:left w:val="single" w:sz="4" w:space="0" w:color="auto"/>
              <w:bottom w:val="single" w:sz="4" w:space="0" w:color="auto"/>
              <w:right w:val="single" w:sz="4" w:space="0" w:color="auto"/>
            </w:tcBorders>
            <w:vAlign w:val="center"/>
          </w:tcPr>
          <w:p w14:paraId="54D37113" w14:textId="77777777" w:rsidR="00DE37B0" w:rsidRPr="0025663B" w:rsidRDefault="0025663B" w:rsidP="00E03D6E">
            <w:r>
              <w:t>5 bps, minimum ticket charge per order of 1 USD</w:t>
            </w:r>
          </w:p>
        </w:tc>
      </w:tr>
    </w:tbl>
    <w:p w14:paraId="0DB18E4C" w14:textId="4A759261" w:rsidR="00320E6D" w:rsidRDefault="00320E6D" w:rsidP="00584A73">
      <w:pPr>
        <w:pStyle w:val="2"/>
      </w:pPr>
      <w:r>
        <w:t>Digital Assets Markets</w:t>
      </w:r>
      <w:r>
        <w:fldChar w:fldCharType="begin"/>
      </w:r>
      <w:r>
        <w:instrText xml:space="preserve"> NOTEREF _Ref188539623 \f \h </w:instrText>
      </w:r>
      <w:r>
        <w:fldChar w:fldCharType="separate"/>
      </w:r>
      <w:r>
        <w:rPr>
          <w:rStyle w:val="af5"/>
        </w:rPr>
        <w:t>1</w:t>
      </w:r>
      <w:r>
        <w:fldChar w:fldCharType="end"/>
      </w:r>
    </w:p>
    <w:tbl>
      <w:tblPr>
        <w:tblW w:w="9639" w:type="dxa"/>
        <w:tblInd w:w="-5" w:type="dxa"/>
        <w:tblLayout w:type="fixed"/>
        <w:tblCellMar>
          <w:top w:w="57" w:type="dxa"/>
          <w:left w:w="57" w:type="dxa"/>
          <w:bottom w:w="57" w:type="dxa"/>
          <w:right w:w="57" w:type="dxa"/>
        </w:tblCellMar>
        <w:tblLook w:val="0000" w:firstRow="0" w:lastRow="0" w:firstColumn="0" w:lastColumn="0" w:noHBand="0" w:noVBand="0"/>
      </w:tblPr>
      <w:tblGrid>
        <w:gridCol w:w="567"/>
        <w:gridCol w:w="3402"/>
        <w:gridCol w:w="5670"/>
      </w:tblGrid>
      <w:tr w:rsidR="00320E6D" w:rsidRPr="004A438E" w14:paraId="55525FEB" w14:textId="77777777" w:rsidTr="00F61B37">
        <w:trPr>
          <w:trHeight w:val="12"/>
        </w:trPr>
        <w:tc>
          <w:tcPr>
            <w:tcW w:w="567" w:type="dxa"/>
            <w:tcBorders>
              <w:top w:val="single" w:sz="4" w:space="0" w:color="000000"/>
              <w:left w:val="single" w:sz="4" w:space="0" w:color="000000"/>
              <w:bottom w:val="single" w:sz="4" w:space="0" w:color="000000"/>
              <w:right w:val="single" w:sz="4" w:space="0" w:color="000000"/>
            </w:tcBorders>
            <w:vAlign w:val="center"/>
          </w:tcPr>
          <w:p w14:paraId="353EEF35" w14:textId="77777777" w:rsidR="00320E6D" w:rsidRPr="004A438E" w:rsidRDefault="00320E6D" w:rsidP="00F61B37">
            <w:pPr>
              <w:jc w:val="center"/>
              <w:rPr>
                <w:b/>
                <w:bCs/>
              </w:rPr>
            </w:pPr>
            <w:r>
              <w:rPr>
                <w:b/>
                <w:bCs/>
              </w:rPr>
              <w:t>No</w:t>
            </w:r>
          </w:p>
        </w:tc>
        <w:tc>
          <w:tcPr>
            <w:tcW w:w="3402" w:type="dxa"/>
            <w:tcBorders>
              <w:top w:val="single" w:sz="4" w:space="0" w:color="000000"/>
              <w:left w:val="single" w:sz="4" w:space="0" w:color="000000"/>
              <w:bottom w:val="single" w:sz="4" w:space="0" w:color="auto"/>
              <w:right w:val="single" w:sz="4" w:space="0" w:color="000000"/>
            </w:tcBorders>
            <w:vAlign w:val="center"/>
          </w:tcPr>
          <w:p w14:paraId="4A6B9879" w14:textId="77777777" w:rsidR="00320E6D" w:rsidRPr="004A438E" w:rsidRDefault="00320E6D" w:rsidP="00F61B37">
            <w:pPr>
              <w:jc w:val="center"/>
              <w:rPr>
                <w:b/>
                <w:bCs/>
              </w:rPr>
            </w:pPr>
            <w:r>
              <w:rPr>
                <w:b/>
                <w:bCs/>
              </w:rPr>
              <w:t>Type of securities/transaction</w:t>
            </w:r>
          </w:p>
        </w:tc>
        <w:tc>
          <w:tcPr>
            <w:tcW w:w="5670" w:type="dxa"/>
            <w:tcBorders>
              <w:top w:val="single" w:sz="4" w:space="0" w:color="000000"/>
              <w:left w:val="single" w:sz="4" w:space="0" w:color="000000"/>
              <w:bottom w:val="single" w:sz="4" w:space="0" w:color="auto"/>
              <w:right w:val="single" w:sz="4" w:space="0" w:color="000000"/>
            </w:tcBorders>
            <w:vAlign w:val="center"/>
          </w:tcPr>
          <w:p w14:paraId="1CC53A18" w14:textId="77777777" w:rsidR="00320E6D" w:rsidRPr="004A438E" w:rsidRDefault="00320E6D" w:rsidP="00F61B37">
            <w:pPr>
              <w:jc w:val="center"/>
              <w:rPr>
                <w:b/>
                <w:bCs/>
              </w:rPr>
            </w:pPr>
            <w:r>
              <w:rPr>
                <w:b/>
                <w:bCs/>
              </w:rPr>
              <w:t>Fees</w:t>
            </w:r>
          </w:p>
        </w:tc>
      </w:tr>
      <w:tr w:rsidR="00320E6D" w:rsidRPr="002A510B" w14:paraId="142CAD02" w14:textId="77777777" w:rsidTr="00F61B37">
        <w:trPr>
          <w:trHeight w:val="182"/>
        </w:trPr>
        <w:tc>
          <w:tcPr>
            <w:tcW w:w="567" w:type="dxa"/>
            <w:tcBorders>
              <w:top w:val="single" w:sz="4" w:space="0" w:color="000000"/>
              <w:left w:val="single" w:sz="4" w:space="0" w:color="000000"/>
              <w:bottom w:val="single" w:sz="4" w:space="0" w:color="000000"/>
              <w:right w:val="single" w:sz="4" w:space="0" w:color="auto"/>
            </w:tcBorders>
            <w:vAlign w:val="center"/>
          </w:tcPr>
          <w:p w14:paraId="543692DC" w14:textId="77777777" w:rsidR="00320E6D" w:rsidRPr="00D82689" w:rsidRDefault="00320E6D" w:rsidP="00F61B37">
            <w:pPr>
              <w:jc w:val="center"/>
            </w:pPr>
            <w:r>
              <w:t>1</w:t>
            </w:r>
          </w:p>
        </w:tc>
        <w:tc>
          <w:tcPr>
            <w:tcW w:w="3402" w:type="dxa"/>
            <w:tcBorders>
              <w:top w:val="single" w:sz="4" w:space="0" w:color="auto"/>
              <w:left w:val="single" w:sz="4" w:space="0" w:color="auto"/>
              <w:bottom w:val="single" w:sz="4" w:space="0" w:color="auto"/>
              <w:right w:val="single" w:sz="4" w:space="0" w:color="auto"/>
            </w:tcBorders>
            <w:vAlign w:val="center"/>
          </w:tcPr>
          <w:p w14:paraId="4CACEF9E" w14:textId="2AC709ED" w:rsidR="00320E6D" w:rsidRPr="00D82689" w:rsidRDefault="00320E6D" w:rsidP="00F61B37">
            <w:r>
              <w:t>Any securities</w:t>
            </w:r>
          </w:p>
        </w:tc>
        <w:tc>
          <w:tcPr>
            <w:tcW w:w="5670" w:type="dxa"/>
            <w:tcBorders>
              <w:top w:val="single" w:sz="4" w:space="0" w:color="auto"/>
              <w:left w:val="single" w:sz="4" w:space="0" w:color="auto"/>
              <w:bottom w:val="single" w:sz="4" w:space="0" w:color="auto"/>
              <w:right w:val="single" w:sz="4" w:space="0" w:color="auto"/>
            </w:tcBorders>
            <w:vAlign w:val="center"/>
          </w:tcPr>
          <w:p w14:paraId="2171573E" w14:textId="13EA2CB0" w:rsidR="00320E6D" w:rsidRPr="002A510B" w:rsidRDefault="00320E6D" w:rsidP="00F61B37">
            <w:r>
              <w:t>0.08%, minimum ticket charge per order of 1 USD</w:t>
            </w:r>
          </w:p>
        </w:tc>
      </w:tr>
    </w:tbl>
    <w:p w14:paraId="46D3B80B" w14:textId="0961F2F0" w:rsidR="00584A73" w:rsidRPr="00D82689" w:rsidRDefault="00584A73" w:rsidP="00584A73">
      <w:pPr>
        <w:pStyle w:val="2"/>
      </w:pPr>
      <w:r>
        <w:t>O</w:t>
      </w:r>
      <w:bookmarkEnd w:id="39"/>
      <w:r>
        <w:t>TC Market</w:t>
      </w:r>
      <w:r>
        <w:fldChar w:fldCharType="begin"/>
      </w:r>
      <w:r>
        <w:instrText xml:space="preserve"> NOTEREF _Ref188539623 \f \h </w:instrText>
      </w:r>
      <w:r>
        <w:fldChar w:fldCharType="separate"/>
      </w:r>
      <w:r>
        <w:rPr>
          <w:rStyle w:val="af5"/>
        </w:rPr>
        <w:t>1</w:t>
      </w:r>
      <w:r>
        <w:fldChar w:fldCharType="end"/>
      </w:r>
    </w:p>
    <w:tbl>
      <w:tblPr>
        <w:tblW w:w="9639" w:type="dxa"/>
        <w:tblInd w:w="-5" w:type="dxa"/>
        <w:tblLayout w:type="fixed"/>
        <w:tblCellMar>
          <w:top w:w="57" w:type="dxa"/>
          <w:left w:w="57" w:type="dxa"/>
          <w:bottom w:w="57" w:type="dxa"/>
          <w:right w:w="57" w:type="dxa"/>
        </w:tblCellMar>
        <w:tblLook w:val="0000" w:firstRow="0" w:lastRow="0" w:firstColumn="0" w:lastColumn="0" w:noHBand="0" w:noVBand="0"/>
      </w:tblPr>
      <w:tblGrid>
        <w:gridCol w:w="4395"/>
        <w:gridCol w:w="5244"/>
      </w:tblGrid>
      <w:tr w:rsidR="00584A73" w:rsidRPr="004A438E" w14:paraId="1A47FD4C" w14:textId="77777777" w:rsidTr="00A000B1">
        <w:trPr>
          <w:trHeight w:val="12"/>
        </w:trPr>
        <w:tc>
          <w:tcPr>
            <w:tcW w:w="4395" w:type="dxa"/>
            <w:tcBorders>
              <w:top w:val="single" w:sz="4" w:space="0" w:color="000000"/>
              <w:left w:val="single" w:sz="4" w:space="0" w:color="000000"/>
              <w:bottom w:val="single" w:sz="4" w:space="0" w:color="000000"/>
              <w:right w:val="single" w:sz="4" w:space="0" w:color="000000"/>
            </w:tcBorders>
            <w:vAlign w:val="center"/>
          </w:tcPr>
          <w:p w14:paraId="434847CD" w14:textId="77777777" w:rsidR="00584A73" w:rsidRPr="004A438E" w:rsidRDefault="00584A73" w:rsidP="00B14713">
            <w:pPr>
              <w:jc w:val="center"/>
              <w:rPr>
                <w:b/>
                <w:bCs/>
              </w:rPr>
            </w:pPr>
            <w:r>
              <w:rPr>
                <w:b/>
                <w:bCs/>
              </w:rPr>
              <w:t>Type of security</w:t>
            </w:r>
          </w:p>
        </w:tc>
        <w:tc>
          <w:tcPr>
            <w:tcW w:w="5244" w:type="dxa"/>
            <w:tcBorders>
              <w:top w:val="single" w:sz="4" w:space="0" w:color="000000"/>
              <w:left w:val="single" w:sz="4" w:space="0" w:color="000000"/>
              <w:bottom w:val="single" w:sz="4" w:space="0" w:color="000000"/>
              <w:right w:val="single" w:sz="4" w:space="0" w:color="000000"/>
            </w:tcBorders>
            <w:vAlign w:val="center"/>
          </w:tcPr>
          <w:p w14:paraId="46F75A17" w14:textId="77777777" w:rsidR="00584A73" w:rsidRPr="004A438E" w:rsidRDefault="00584A73" w:rsidP="00B14713">
            <w:pPr>
              <w:jc w:val="center"/>
              <w:rPr>
                <w:b/>
                <w:bCs/>
              </w:rPr>
            </w:pPr>
            <w:r>
              <w:rPr>
                <w:b/>
                <w:bCs/>
              </w:rPr>
              <w:t>Fees</w:t>
            </w:r>
          </w:p>
        </w:tc>
      </w:tr>
      <w:tr w:rsidR="00584A73" w:rsidRPr="00D82689" w14:paraId="4BCE8025" w14:textId="77777777" w:rsidTr="00A000B1">
        <w:trPr>
          <w:trHeight w:val="20"/>
        </w:trPr>
        <w:tc>
          <w:tcPr>
            <w:tcW w:w="4395" w:type="dxa"/>
            <w:tcBorders>
              <w:top w:val="single" w:sz="4" w:space="0" w:color="000000"/>
              <w:left w:val="single" w:sz="4" w:space="0" w:color="000000"/>
              <w:bottom w:val="single" w:sz="4" w:space="0" w:color="000000"/>
              <w:right w:val="single" w:sz="4" w:space="0" w:color="000000"/>
            </w:tcBorders>
            <w:vAlign w:val="center"/>
          </w:tcPr>
          <w:p w14:paraId="56CD1763" w14:textId="77777777" w:rsidR="00584A73" w:rsidRPr="00D82689" w:rsidRDefault="00584A73" w:rsidP="00B14713">
            <w:r>
              <w:t>Any securities</w:t>
            </w:r>
          </w:p>
        </w:tc>
        <w:tc>
          <w:tcPr>
            <w:tcW w:w="5244" w:type="dxa"/>
            <w:tcBorders>
              <w:top w:val="single" w:sz="4" w:space="0" w:color="000000"/>
              <w:left w:val="single" w:sz="4" w:space="0" w:color="000000"/>
              <w:bottom w:val="single" w:sz="4" w:space="0" w:color="000000"/>
              <w:right w:val="single" w:sz="4" w:space="0" w:color="000000"/>
            </w:tcBorders>
            <w:vAlign w:val="center"/>
          </w:tcPr>
          <w:p w14:paraId="15071572" w14:textId="77777777" w:rsidR="00584A73" w:rsidRPr="00D82689" w:rsidRDefault="00584A73" w:rsidP="00B14713">
            <w:r>
              <w:t>10 bps + 100 USD</w:t>
            </w:r>
          </w:p>
        </w:tc>
      </w:tr>
    </w:tbl>
    <w:p w14:paraId="4C16DB17" w14:textId="77777777" w:rsidR="00584A73" w:rsidRPr="00D82689" w:rsidRDefault="00584A73" w:rsidP="00584A73">
      <w:pPr>
        <w:pStyle w:val="2"/>
      </w:pPr>
      <w:bookmarkStart w:id="40" w:name="__RefHeading___Toc274682_2224848205"/>
      <w:bookmarkStart w:id="41" w:name="_Toc2093612945"/>
      <w:bookmarkEnd w:id="40"/>
      <w:r>
        <w:t>M</w:t>
      </w:r>
      <w:bookmarkEnd w:id="41"/>
      <w:r>
        <w:t>argin Rates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694"/>
        <w:gridCol w:w="2126"/>
        <w:gridCol w:w="2121"/>
        <w:gridCol w:w="2698"/>
      </w:tblGrid>
      <w:tr w:rsidR="00584A73" w:rsidRPr="004A438E" w14:paraId="478B8D63" w14:textId="77777777" w:rsidTr="00B14713">
        <w:trPr>
          <w:trHeight w:val="11"/>
        </w:trPr>
        <w:tc>
          <w:tcPr>
            <w:tcW w:w="2694" w:type="dxa"/>
            <w:vAlign w:val="center"/>
          </w:tcPr>
          <w:p w14:paraId="23DFDE6B" w14:textId="77777777" w:rsidR="00584A73" w:rsidRPr="004A438E" w:rsidRDefault="00584A73" w:rsidP="00B14713">
            <w:pPr>
              <w:jc w:val="center"/>
              <w:rPr>
                <w:b/>
                <w:bCs/>
              </w:rPr>
            </w:pPr>
          </w:p>
        </w:tc>
        <w:tc>
          <w:tcPr>
            <w:tcW w:w="2126" w:type="dxa"/>
            <w:vAlign w:val="center"/>
          </w:tcPr>
          <w:p w14:paraId="5E647946" w14:textId="77777777" w:rsidR="00584A73" w:rsidRPr="004A438E" w:rsidRDefault="00584A73" w:rsidP="00B14713">
            <w:pPr>
              <w:jc w:val="center"/>
              <w:rPr>
                <w:b/>
                <w:bCs/>
              </w:rPr>
            </w:pPr>
            <w:r>
              <w:rPr>
                <w:b/>
                <w:bCs/>
              </w:rPr>
              <w:t>Currency</w:t>
            </w:r>
          </w:p>
        </w:tc>
        <w:tc>
          <w:tcPr>
            <w:tcW w:w="2121" w:type="dxa"/>
            <w:vAlign w:val="center"/>
          </w:tcPr>
          <w:p w14:paraId="4F8D5A6E" w14:textId="77777777" w:rsidR="00584A73" w:rsidRPr="004A438E" w:rsidRDefault="00584A73" w:rsidP="00B14713">
            <w:pPr>
              <w:jc w:val="center"/>
              <w:rPr>
                <w:b/>
                <w:bCs/>
              </w:rPr>
            </w:pPr>
            <w:r>
              <w:rPr>
                <w:b/>
                <w:bCs/>
              </w:rPr>
              <w:t>Reference Rate</w:t>
            </w:r>
          </w:p>
        </w:tc>
        <w:tc>
          <w:tcPr>
            <w:tcW w:w="2698" w:type="dxa"/>
            <w:vAlign w:val="center"/>
          </w:tcPr>
          <w:p w14:paraId="7CD30C4B" w14:textId="77777777" w:rsidR="00584A73" w:rsidRPr="004A438E" w:rsidRDefault="00584A73" w:rsidP="00B14713">
            <w:pPr>
              <w:jc w:val="center"/>
              <w:rPr>
                <w:b/>
                <w:bCs/>
              </w:rPr>
            </w:pPr>
            <w:r>
              <w:rPr>
                <w:b/>
                <w:bCs/>
              </w:rPr>
              <w:t>Financing Rate</w:t>
            </w:r>
          </w:p>
        </w:tc>
      </w:tr>
      <w:tr w:rsidR="009D33F3" w:rsidRPr="00D82689" w14:paraId="15264468" w14:textId="77777777" w:rsidTr="00B14713">
        <w:trPr>
          <w:trHeight w:val="104"/>
        </w:trPr>
        <w:tc>
          <w:tcPr>
            <w:tcW w:w="2694" w:type="dxa"/>
            <w:vMerge w:val="restart"/>
            <w:vAlign w:val="center"/>
          </w:tcPr>
          <w:p w14:paraId="4FBBD745" w14:textId="77777777" w:rsidR="009D33F3" w:rsidRPr="00D82689" w:rsidRDefault="009D33F3" w:rsidP="00B14713">
            <w:r>
              <w:t xml:space="preserve">Margin rate for cash </w:t>
            </w:r>
          </w:p>
        </w:tc>
        <w:tc>
          <w:tcPr>
            <w:tcW w:w="2126" w:type="dxa"/>
            <w:vAlign w:val="center"/>
          </w:tcPr>
          <w:p w14:paraId="743E56C4" w14:textId="77777777" w:rsidR="009D33F3" w:rsidRPr="00D82689" w:rsidRDefault="009D33F3" w:rsidP="00B14713">
            <w:r>
              <w:t>USD</w:t>
            </w:r>
          </w:p>
        </w:tc>
        <w:tc>
          <w:tcPr>
            <w:tcW w:w="2121" w:type="dxa"/>
            <w:vAlign w:val="center"/>
          </w:tcPr>
          <w:p w14:paraId="1693A234" w14:textId="77777777" w:rsidR="009D33F3" w:rsidRPr="00D82689" w:rsidRDefault="009D33F3" w:rsidP="00B14713">
            <w:r>
              <w:t>Fed Funds Rate</w:t>
            </w:r>
          </w:p>
        </w:tc>
        <w:tc>
          <w:tcPr>
            <w:tcW w:w="2698" w:type="dxa"/>
            <w:vMerge w:val="restart"/>
            <w:vAlign w:val="center"/>
          </w:tcPr>
          <w:p w14:paraId="38C26840" w14:textId="25DA39B3" w:rsidR="009D33F3" w:rsidRPr="00D82689" w:rsidRDefault="009D33F3" w:rsidP="00B14713">
            <w:pPr>
              <w:jc w:val="center"/>
            </w:pPr>
            <w:r>
              <w:t>+5%</w:t>
            </w:r>
          </w:p>
        </w:tc>
      </w:tr>
      <w:tr w:rsidR="009D33F3" w:rsidRPr="00D82689" w14:paraId="5C9F2A2B" w14:textId="77777777" w:rsidTr="00B14713">
        <w:trPr>
          <w:trHeight w:val="1"/>
        </w:trPr>
        <w:tc>
          <w:tcPr>
            <w:tcW w:w="2694" w:type="dxa"/>
            <w:vMerge/>
            <w:vAlign w:val="center"/>
          </w:tcPr>
          <w:p w14:paraId="781B057F" w14:textId="77777777" w:rsidR="009D33F3" w:rsidRPr="00D82689" w:rsidRDefault="009D33F3" w:rsidP="00B14713"/>
        </w:tc>
        <w:tc>
          <w:tcPr>
            <w:tcW w:w="2126" w:type="dxa"/>
            <w:vAlign w:val="center"/>
          </w:tcPr>
          <w:p w14:paraId="3FAED06C" w14:textId="77777777" w:rsidR="009D33F3" w:rsidRPr="00D82689" w:rsidRDefault="009D33F3" w:rsidP="00B14713">
            <w:r>
              <w:t>EUR</w:t>
            </w:r>
          </w:p>
        </w:tc>
        <w:tc>
          <w:tcPr>
            <w:tcW w:w="2121" w:type="dxa"/>
            <w:vAlign w:val="center"/>
          </w:tcPr>
          <w:p w14:paraId="307E9FAB" w14:textId="77777777" w:rsidR="009D33F3" w:rsidRPr="00D82689" w:rsidRDefault="009D33F3" w:rsidP="00B14713">
            <w:r>
              <w:t>ECB rate</w:t>
            </w:r>
          </w:p>
        </w:tc>
        <w:tc>
          <w:tcPr>
            <w:tcW w:w="2698" w:type="dxa"/>
            <w:vMerge/>
            <w:vAlign w:val="center"/>
          </w:tcPr>
          <w:p w14:paraId="04C03433" w14:textId="77777777" w:rsidR="009D33F3" w:rsidRPr="00D82689" w:rsidRDefault="009D33F3" w:rsidP="00B14713">
            <w:pPr>
              <w:jc w:val="center"/>
            </w:pPr>
          </w:p>
        </w:tc>
      </w:tr>
      <w:tr w:rsidR="009D33F3" w:rsidRPr="00D82689" w14:paraId="47730A46" w14:textId="77777777" w:rsidTr="00B14713">
        <w:trPr>
          <w:trHeight w:val="30"/>
        </w:trPr>
        <w:tc>
          <w:tcPr>
            <w:tcW w:w="2694" w:type="dxa"/>
            <w:vMerge/>
            <w:vAlign w:val="center"/>
          </w:tcPr>
          <w:p w14:paraId="6121A2D0" w14:textId="77777777" w:rsidR="009D33F3" w:rsidRPr="00D82689" w:rsidRDefault="009D33F3" w:rsidP="00B14713"/>
        </w:tc>
        <w:tc>
          <w:tcPr>
            <w:tcW w:w="2126" w:type="dxa"/>
            <w:vAlign w:val="center"/>
          </w:tcPr>
          <w:p w14:paraId="626FF4AE" w14:textId="77777777" w:rsidR="009D33F3" w:rsidRPr="00D82689" w:rsidRDefault="009D33F3" w:rsidP="00B14713">
            <w:r>
              <w:t>CNY</w:t>
            </w:r>
          </w:p>
        </w:tc>
        <w:tc>
          <w:tcPr>
            <w:tcW w:w="2121" w:type="dxa"/>
            <w:vAlign w:val="center"/>
          </w:tcPr>
          <w:p w14:paraId="7C0A9F5C" w14:textId="77777777" w:rsidR="009D33F3" w:rsidRPr="00D82689" w:rsidRDefault="009D33F3" w:rsidP="00B14713">
            <w:r>
              <w:t>CNY prime rate</w:t>
            </w:r>
          </w:p>
        </w:tc>
        <w:tc>
          <w:tcPr>
            <w:tcW w:w="2698" w:type="dxa"/>
            <w:vMerge/>
            <w:vAlign w:val="center"/>
          </w:tcPr>
          <w:p w14:paraId="3E9078B2" w14:textId="77777777" w:rsidR="009D33F3" w:rsidRPr="00D82689" w:rsidRDefault="009D33F3" w:rsidP="00B14713">
            <w:pPr>
              <w:jc w:val="center"/>
            </w:pPr>
          </w:p>
        </w:tc>
      </w:tr>
      <w:tr w:rsidR="009D33F3" w:rsidRPr="00D82689" w14:paraId="2E295DB1" w14:textId="77777777" w:rsidTr="009D33F3">
        <w:trPr>
          <w:trHeight w:val="310"/>
        </w:trPr>
        <w:tc>
          <w:tcPr>
            <w:tcW w:w="2694" w:type="dxa"/>
            <w:vMerge/>
            <w:tcBorders>
              <w:bottom w:val="single" w:sz="4" w:space="0" w:color="auto"/>
            </w:tcBorders>
            <w:vAlign w:val="center"/>
          </w:tcPr>
          <w:p w14:paraId="235DEF75" w14:textId="77777777" w:rsidR="009D33F3" w:rsidRPr="00D82689" w:rsidRDefault="009D33F3" w:rsidP="00B14713"/>
        </w:tc>
        <w:tc>
          <w:tcPr>
            <w:tcW w:w="2126" w:type="dxa"/>
            <w:tcBorders>
              <w:bottom w:val="single" w:sz="4" w:space="0" w:color="auto"/>
            </w:tcBorders>
            <w:vAlign w:val="center"/>
          </w:tcPr>
          <w:p w14:paraId="65B80EAE" w14:textId="577523DE" w:rsidR="009D33F3" w:rsidRPr="00D82689" w:rsidRDefault="009D33F3" w:rsidP="009D33F3">
            <w:r>
              <w:t>KZT</w:t>
            </w:r>
          </w:p>
        </w:tc>
        <w:tc>
          <w:tcPr>
            <w:tcW w:w="2121" w:type="dxa"/>
            <w:tcBorders>
              <w:bottom w:val="single" w:sz="4" w:space="0" w:color="auto"/>
            </w:tcBorders>
            <w:vAlign w:val="center"/>
          </w:tcPr>
          <w:p w14:paraId="6118055F" w14:textId="77777777" w:rsidR="009D33F3" w:rsidRPr="00D82689" w:rsidRDefault="009D33F3" w:rsidP="00B14713">
            <w:r>
              <w:t xml:space="preserve">KCB Key Rate </w:t>
            </w:r>
          </w:p>
        </w:tc>
        <w:tc>
          <w:tcPr>
            <w:tcW w:w="2698" w:type="dxa"/>
            <w:vMerge/>
            <w:tcBorders>
              <w:bottom w:val="single" w:sz="4" w:space="0" w:color="auto"/>
            </w:tcBorders>
            <w:vAlign w:val="center"/>
          </w:tcPr>
          <w:p w14:paraId="7192F762" w14:textId="77777777" w:rsidR="009D33F3" w:rsidRPr="00D82689" w:rsidRDefault="009D33F3" w:rsidP="00B14713">
            <w:pPr>
              <w:jc w:val="center"/>
            </w:pPr>
          </w:p>
        </w:tc>
      </w:tr>
      <w:tr w:rsidR="00584A73" w:rsidRPr="00D82689" w14:paraId="6BD0B9A8" w14:textId="77777777" w:rsidTr="00B14713">
        <w:tc>
          <w:tcPr>
            <w:tcW w:w="2694" w:type="dxa"/>
            <w:vMerge/>
            <w:vAlign w:val="center"/>
          </w:tcPr>
          <w:p w14:paraId="44C2E53A" w14:textId="77777777" w:rsidR="00584A73" w:rsidRPr="00D82689" w:rsidRDefault="00584A73" w:rsidP="00B14713"/>
        </w:tc>
        <w:tc>
          <w:tcPr>
            <w:tcW w:w="2126" w:type="dxa"/>
            <w:vAlign w:val="center"/>
          </w:tcPr>
          <w:p w14:paraId="03E0B3F9" w14:textId="77777777" w:rsidR="00584A73" w:rsidRPr="00D82689" w:rsidRDefault="00584A73" w:rsidP="00B14713">
            <w:r>
              <w:t>Other Currencies</w:t>
            </w:r>
          </w:p>
        </w:tc>
        <w:tc>
          <w:tcPr>
            <w:tcW w:w="2121" w:type="dxa"/>
            <w:vAlign w:val="center"/>
          </w:tcPr>
          <w:p w14:paraId="5E64F906" w14:textId="77777777" w:rsidR="00584A73" w:rsidRPr="00D82689" w:rsidRDefault="00584A73" w:rsidP="00B14713">
            <w:r>
              <w:t>Not appliable</w:t>
            </w:r>
          </w:p>
        </w:tc>
        <w:tc>
          <w:tcPr>
            <w:tcW w:w="2698" w:type="dxa"/>
            <w:vAlign w:val="center"/>
          </w:tcPr>
          <w:p w14:paraId="62B24367" w14:textId="77777777" w:rsidR="00584A73" w:rsidRPr="00D82689" w:rsidRDefault="00584A73" w:rsidP="00B14713">
            <w:pPr>
              <w:jc w:val="center"/>
            </w:pPr>
            <w:r>
              <w:t>+10%</w:t>
            </w:r>
          </w:p>
        </w:tc>
      </w:tr>
      <w:tr w:rsidR="00584A73" w:rsidRPr="00D82689" w14:paraId="74C3B3AA" w14:textId="77777777" w:rsidTr="00B14713">
        <w:trPr>
          <w:trHeight w:val="349"/>
        </w:trPr>
        <w:tc>
          <w:tcPr>
            <w:tcW w:w="2694" w:type="dxa"/>
            <w:vAlign w:val="center"/>
          </w:tcPr>
          <w:p w14:paraId="416F49CF" w14:textId="77777777" w:rsidR="00584A73" w:rsidRPr="00D82689" w:rsidRDefault="00584A73" w:rsidP="00B14713">
            <w:r>
              <w:t>Margin Rate for securities</w:t>
            </w:r>
          </w:p>
        </w:tc>
        <w:tc>
          <w:tcPr>
            <w:tcW w:w="2126" w:type="dxa"/>
            <w:vAlign w:val="center"/>
          </w:tcPr>
          <w:p w14:paraId="656F53B4" w14:textId="77777777" w:rsidR="00584A73" w:rsidRPr="00D82689" w:rsidRDefault="00584A73" w:rsidP="00B14713"/>
        </w:tc>
        <w:tc>
          <w:tcPr>
            <w:tcW w:w="2121" w:type="dxa"/>
            <w:vAlign w:val="center"/>
          </w:tcPr>
          <w:p w14:paraId="7AEB017F" w14:textId="77777777" w:rsidR="00584A73" w:rsidRPr="00D82689" w:rsidRDefault="00584A73" w:rsidP="00B14713">
            <w:r>
              <w:t>REPO Rate</w:t>
            </w:r>
          </w:p>
        </w:tc>
        <w:tc>
          <w:tcPr>
            <w:tcW w:w="2698" w:type="dxa"/>
            <w:vAlign w:val="center"/>
          </w:tcPr>
          <w:p w14:paraId="24A54E90" w14:textId="77777777" w:rsidR="00584A73" w:rsidRPr="00D82689" w:rsidRDefault="00584A73" w:rsidP="00B14713">
            <w:pPr>
              <w:jc w:val="center"/>
            </w:pPr>
            <w:r>
              <w:t>External fee – 3%</w:t>
            </w:r>
          </w:p>
        </w:tc>
      </w:tr>
      <w:tr w:rsidR="007C699D" w:rsidRPr="00D82689" w14:paraId="0C470B20" w14:textId="77777777" w:rsidTr="00B14713">
        <w:trPr>
          <w:trHeight w:val="349"/>
        </w:trPr>
        <w:tc>
          <w:tcPr>
            <w:tcW w:w="2694" w:type="dxa"/>
            <w:vAlign w:val="center"/>
          </w:tcPr>
          <w:p w14:paraId="577CD7B5" w14:textId="3F5974A8" w:rsidR="007C699D" w:rsidRPr="00D82689" w:rsidRDefault="007C699D" w:rsidP="00B14713">
            <w:r>
              <w:lastRenderedPageBreak/>
              <w:t>Digital Assets</w:t>
            </w:r>
          </w:p>
        </w:tc>
        <w:tc>
          <w:tcPr>
            <w:tcW w:w="2126" w:type="dxa"/>
            <w:vAlign w:val="center"/>
          </w:tcPr>
          <w:p w14:paraId="6B6C2394" w14:textId="77777777" w:rsidR="007C699D" w:rsidRPr="00D82689" w:rsidRDefault="007C699D" w:rsidP="00B14713"/>
        </w:tc>
        <w:tc>
          <w:tcPr>
            <w:tcW w:w="2121" w:type="dxa"/>
            <w:vAlign w:val="center"/>
          </w:tcPr>
          <w:p w14:paraId="2E9DC307" w14:textId="657542F4" w:rsidR="007C699D" w:rsidRPr="007F2A32" w:rsidRDefault="007F2A32" w:rsidP="00B14713">
            <w:r>
              <w:t>Binance rate</w:t>
            </w:r>
          </w:p>
        </w:tc>
        <w:tc>
          <w:tcPr>
            <w:tcW w:w="2698" w:type="dxa"/>
            <w:vAlign w:val="center"/>
          </w:tcPr>
          <w:p w14:paraId="754FAA59" w14:textId="43BF0C99" w:rsidR="007C699D" w:rsidRPr="00D82689" w:rsidRDefault="00F878EC" w:rsidP="00B14713">
            <w:pPr>
              <w:jc w:val="center"/>
            </w:pPr>
            <w:r>
              <w:t>+5%</w:t>
            </w:r>
          </w:p>
        </w:tc>
      </w:tr>
    </w:tbl>
    <w:p w14:paraId="12D07A4B" w14:textId="77777777" w:rsidR="00584A73" w:rsidRPr="00D82689" w:rsidRDefault="00584A73" w:rsidP="00584A73">
      <w:pPr>
        <w:pStyle w:val="2"/>
      </w:pPr>
      <w:bookmarkStart w:id="42" w:name="__RefHeading___Toc274684_2224848205"/>
      <w:bookmarkEnd w:id="42"/>
      <w:r>
        <w:t>Custody Services</w:t>
      </w:r>
      <w:r>
        <w:rPr>
          <w:rStyle w:val="af5"/>
        </w:rPr>
        <w:endnoteReference w:id="4"/>
      </w:r>
    </w:p>
    <w:tbl>
      <w:tblPr>
        <w:tblW w:w="9639" w:type="dxa"/>
        <w:tblInd w:w="-5" w:type="dxa"/>
        <w:tblLayout w:type="fixed"/>
        <w:tblCellMar>
          <w:top w:w="57" w:type="dxa"/>
          <w:left w:w="57" w:type="dxa"/>
          <w:bottom w:w="57" w:type="dxa"/>
          <w:right w:w="57" w:type="dxa"/>
        </w:tblCellMar>
        <w:tblLook w:val="0000" w:firstRow="0" w:lastRow="0" w:firstColumn="0" w:lastColumn="0" w:noHBand="0" w:noVBand="0"/>
      </w:tblPr>
      <w:tblGrid>
        <w:gridCol w:w="860"/>
        <w:gridCol w:w="2968"/>
        <w:gridCol w:w="2551"/>
        <w:gridCol w:w="3260"/>
      </w:tblGrid>
      <w:tr w:rsidR="00584A73" w:rsidRPr="004A438E" w14:paraId="58BEBE13" w14:textId="77777777" w:rsidTr="00B14713">
        <w:trPr>
          <w:trHeight w:val="481"/>
        </w:trPr>
        <w:tc>
          <w:tcPr>
            <w:tcW w:w="860" w:type="dxa"/>
            <w:tcBorders>
              <w:top w:val="single" w:sz="4" w:space="0" w:color="000000"/>
              <w:left w:val="single" w:sz="4" w:space="0" w:color="000000"/>
              <w:bottom w:val="single" w:sz="4" w:space="0" w:color="000000"/>
            </w:tcBorders>
            <w:vAlign w:val="center"/>
          </w:tcPr>
          <w:p w14:paraId="62F05A8C" w14:textId="77777777" w:rsidR="00584A73" w:rsidRPr="004A438E" w:rsidRDefault="00584A73" w:rsidP="00B14713">
            <w:pPr>
              <w:jc w:val="center"/>
              <w:rPr>
                <w:b/>
                <w:bCs/>
              </w:rPr>
            </w:pPr>
            <w:r>
              <w:rPr>
                <w:b/>
                <w:bCs/>
              </w:rPr>
              <w:t>No</w:t>
            </w:r>
          </w:p>
        </w:tc>
        <w:tc>
          <w:tcPr>
            <w:tcW w:w="2968" w:type="dxa"/>
            <w:tcBorders>
              <w:top w:val="single" w:sz="4" w:space="0" w:color="000000"/>
              <w:left w:val="single" w:sz="4" w:space="0" w:color="000000"/>
              <w:bottom w:val="single" w:sz="4" w:space="0" w:color="000000"/>
            </w:tcBorders>
            <w:vAlign w:val="center"/>
          </w:tcPr>
          <w:p w14:paraId="39CE9BC1" w14:textId="77777777" w:rsidR="00584A73" w:rsidRPr="004A438E" w:rsidRDefault="00584A73" w:rsidP="00B14713">
            <w:pPr>
              <w:jc w:val="center"/>
              <w:rPr>
                <w:b/>
                <w:bCs/>
              </w:rPr>
            </w:pPr>
            <w:r>
              <w:rPr>
                <w:b/>
                <w:bCs/>
              </w:rPr>
              <w:t>Type of services</w:t>
            </w:r>
          </w:p>
        </w:tc>
        <w:tc>
          <w:tcPr>
            <w:tcW w:w="2551" w:type="dxa"/>
            <w:tcBorders>
              <w:top w:val="single" w:sz="4" w:space="0" w:color="000000"/>
              <w:left w:val="single" w:sz="4" w:space="0" w:color="000000"/>
              <w:bottom w:val="single" w:sz="4" w:space="0" w:color="000000"/>
            </w:tcBorders>
            <w:vAlign w:val="center"/>
          </w:tcPr>
          <w:p w14:paraId="463A0E5C" w14:textId="77777777" w:rsidR="00584A73" w:rsidRPr="004A438E" w:rsidRDefault="00584A73" w:rsidP="00B14713">
            <w:pPr>
              <w:jc w:val="center"/>
              <w:rPr>
                <w:b/>
                <w:bCs/>
              </w:rPr>
            </w:pPr>
            <w:r>
              <w:rPr>
                <w:b/>
                <w:bCs/>
              </w:rPr>
              <w:t>Fees</w:t>
            </w:r>
          </w:p>
        </w:tc>
        <w:tc>
          <w:tcPr>
            <w:tcW w:w="3260" w:type="dxa"/>
            <w:tcBorders>
              <w:top w:val="single" w:sz="4" w:space="0" w:color="000000"/>
              <w:left w:val="single" w:sz="4" w:space="0" w:color="000000"/>
              <w:bottom w:val="single" w:sz="4" w:space="0" w:color="000000"/>
              <w:right w:val="single" w:sz="4" w:space="0" w:color="000000"/>
            </w:tcBorders>
            <w:vAlign w:val="center"/>
          </w:tcPr>
          <w:p w14:paraId="3C45B1B2" w14:textId="77777777" w:rsidR="00584A73" w:rsidRPr="004A438E" w:rsidRDefault="00584A73" w:rsidP="00B14713">
            <w:pPr>
              <w:jc w:val="center"/>
              <w:rPr>
                <w:b/>
                <w:bCs/>
              </w:rPr>
            </w:pPr>
            <w:r>
              <w:rPr>
                <w:b/>
                <w:bCs/>
              </w:rPr>
              <w:t>Comments</w:t>
            </w:r>
          </w:p>
        </w:tc>
      </w:tr>
      <w:tr w:rsidR="00584A73" w:rsidRPr="00D82689" w14:paraId="57358B21" w14:textId="77777777" w:rsidTr="00B14713">
        <w:trPr>
          <w:trHeight w:val="20"/>
        </w:trPr>
        <w:tc>
          <w:tcPr>
            <w:tcW w:w="860" w:type="dxa"/>
            <w:tcBorders>
              <w:top w:val="single" w:sz="4" w:space="0" w:color="000000"/>
              <w:left w:val="single" w:sz="4" w:space="0" w:color="000000"/>
              <w:bottom w:val="single" w:sz="4" w:space="0" w:color="000000"/>
            </w:tcBorders>
            <w:vAlign w:val="center"/>
          </w:tcPr>
          <w:p w14:paraId="288EB286" w14:textId="77777777" w:rsidR="00584A73" w:rsidRPr="00D82689" w:rsidRDefault="00584A73" w:rsidP="00B14713">
            <w:pPr>
              <w:jc w:val="center"/>
            </w:pPr>
            <w:r>
              <w:t>1</w:t>
            </w:r>
          </w:p>
        </w:tc>
        <w:tc>
          <w:tcPr>
            <w:tcW w:w="8779" w:type="dxa"/>
            <w:gridSpan w:val="3"/>
            <w:tcBorders>
              <w:top w:val="single" w:sz="4" w:space="0" w:color="000000"/>
              <w:left w:val="single" w:sz="4" w:space="0" w:color="000000"/>
              <w:bottom w:val="single" w:sz="4" w:space="0" w:color="000000"/>
              <w:right w:val="single" w:sz="4" w:space="0" w:color="000000"/>
            </w:tcBorders>
            <w:vAlign w:val="center"/>
          </w:tcPr>
          <w:p w14:paraId="05638D6F" w14:textId="77777777" w:rsidR="00584A73" w:rsidRPr="00C022B9" w:rsidRDefault="00584A73" w:rsidP="00B14713">
            <w:pPr>
              <w:jc w:val="center"/>
              <w:rPr>
                <w:b/>
                <w:bCs/>
              </w:rPr>
            </w:pPr>
            <w:r>
              <w:rPr>
                <w:b/>
                <w:bCs/>
              </w:rPr>
              <w:t>Securites transfer</w:t>
            </w:r>
          </w:p>
        </w:tc>
      </w:tr>
      <w:tr w:rsidR="00584A73" w:rsidRPr="00D82689" w14:paraId="0F24D3AC" w14:textId="77777777" w:rsidTr="00B14713">
        <w:trPr>
          <w:trHeight w:val="20"/>
        </w:trPr>
        <w:tc>
          <w:tcPr>
            <w:tcW w:w="860" w:type="dxa"/>
            <w:tcBorders>
              <w:top w:val="single" w:sz="4" w:space="0" w:color="000000"/>
              <w:left w:val="single" w:sz="4" w:space="0" w:color="000000"/>
              <w:bottom w:val="single" w:sz="4" w:space="0" w:color="000000"/>
            </w:tcBorders>
            <w:vAlign w:val="center"/>
          </w:tcPr>
          <w:p w14:paraId="3C27467B" w14:textId="77777777" w:rsidR="00584A73" w:rsidRPr="00D82689" w:rsidRDefault="00584A73" w:rsidP="00B14713">
            <w:pPr>
              <w:jc w:val="center"/>
            </w:pPr>
            <w:r>
              <w:t>1.1</w:t>
            </w:r>
          </w:p>
        </w:tc>
        <w:tc>
          <w:tcPr>
            <w:tcW w:w="8779" w:type="dxa"/>
            <w:gridSpan w:val="3"/>
            <w:tcBorders>
              <w:top w:val="single" w:sz="4" w:space="0" w:color="000000"/>
              <w:left w:val="single" w:sz="4" w:space="0" w:color="000000"/>
              <w:bottom w:val="single" w:sz="4" w:space="0" w:color="000000"/>
              <w:right w:val="single" w:sz="4" w:space="0" w:color="000000"/>
            </w:tcBorders>
            <w:vAlign w:val="center"/>
          </w:tcPr>
          <w:p w14:paraId="49C7C030" w14:textId="77777777" w:rsidR="00584A73" w:rsidRPr="001E1B04" w:rsidRDefault="00584A73" w:rsidP="001E1B04">
            <w:r>
              <w:t>Free of payments (FOP) securities transfer:</w:t>
            </w:r>
          </w:p>
        </w:tc>
      </w:tr>
      <w:tr w:rsidR="00584A73" w:rsidRPr="00D82689" w14:paraId="45B38F42" w14:textId="77777777" w:rsidTr="00B14713">
        <w:trPr>
          <w:trHeight w:val="212"/>
        </w:trPr>
        <w:tc>
          <w:tcPr>
            <w:tcW w:w="860" w:type="dxa"/>
            <w:tcBorders>
              <w:top w:val="single" w:sz="4" w:space="0" w:color="000000"/>
              <w:left w:val="single" w:sz="4" w:space="0" w:color="000000"/>
              <w:bottom w:val="single" w:sz="4" w:space="0" w:color="000000"/>
            </w:tcBorders>
            <w:vAlign w:val="center"/>
          </w:tcPr>
          <w:p w14:paraId="12D925FC" w14:textId="77777777" w:rsidR="00584A73" w:rsidRPr="00D82689" w:rsidRDefault="00584A73" w:rsidP="00B14713">
            <w:pPr>
              <w:jc w:val="center"/>
            </w:pPr>
            <w:r>
              <w:t>1.1.1</w:t>
            </w:r>
          </w:p>
        </w:tc>
        <w:tc>
          <w:tcPr>
            <w:tcW w:w="2968" w:type="dxa"/>
            <w:tcBorders>
              <w:top w:val="single" w:sz="4" w:space="0" w:color="000000"/>
              <w:left w:val="single" w:sz="4" w:space="0" w:color="000000"/>
              <w:bottom w:val="single" w:sz="4" w:space="0" w:color="000000"/>
            </w:tcBorders>
            <w:vAlign w:val="center"/>
          </w:tcPr>
          <w:p w14:paraId="2F92E660" w14:textId="77777777" w:rsidR="00584A73" w:rsidRPr="00D82689" w:rsidRDefault="00584A73" w:rsidP="00B14713">
            <w:r>
              <w:t>Without MT599 instructions</w:t>
            </w:r>
          </w:p>
        </w:tc>
        <w:tc>
          <w:tcPr>
            <w:tcW w:w="2551" w:type="dxa"/>
            <w:tcBorders>
              <w:top w:val="single" w:sz="4" w:space="0" w:color="000000"/>
              <w:left w:val="single" w:sz="4" w:space="0" w:color="000000"/>
              <w:bottom w:val="single" w:sz="4" w:space="0" w:color="000000"/>
            </w:tcBorders>
            <w:vAlign w:val="center"/>
          </w:tcPr>
          <w:p w14:paraId="319CC2B3" w14:textId="77777777" w:rsidR="00584A73" w:rsidRPr="004F0F8B" w:rsidRDefault="00584A73" w:rsidP="00B14713">
            <w:pPr>
              <w:jc w:val="center"/>
              <w:rPr>
                <w:lang w:val="ru-RU"/>
              </w:rPr>
            </w:pPr>
            <w:r>
              <w:t>100 USD per instruction</w:t>
            </w:r>
          </w:p>
        </w:tc>
        <w:tc>
          <w:tcPr>
            <w:tcW w:w="3260" w:type="dxa"/>
            <w:tcBorders>
              <w:top w:val="single" w:sz="4" w:space="0" w:color="000000"/>
              <w:left w:val="single" w:sz="4" w:space="0" w:color="000000"/>
              <w:bottom w:val="single" w:sz="4" w:space="0" w:color="000000"/>
              <w:right w:val="single" w:sz="4" w:space="0" w:color="000000"/>
            </w:tcBorders>
            <w:vAlign w:val="center"/>
          </w:tcPr>
          <w:p w14:paraId="65E60DFD" w14:textId="77777777" w:rsidR="00584A73" w:rsidRPr="00D82689" w:rsidRDefault="00584A73" w:rsidP="00B14713"/>
        </w:tc>
      </w:tr>
      <w:tr w:rsidR="00584A73" w:rsidRPr="00D82689" w14:paraId="194E00A6" w14:textId="77777777" w:rsidTr="00B14713">
        <w:trPr>
          <w:trHeight w:val="108"/>
        </w:trPr>
        <w:tc>
          <w:tcPr>
            <w:tcW w:w="860" w:type="dxa"/>
            <w:tcBorders>
              <w:top w:val="single" w:sz="4" w:space="0" w:color="000000"/>
              <w:left w:val="single" w:sz="4" w:space="0" w:color="000000"/>
              <w:bottom w:val="single" w:sz="4" w:space="0" w:color="000000"/>
            </w:tcBorders>
            <w:vAlign w:val="center"/>
          </w:tcPr>
          <w:p w14:paraId="148BA37B" w14:textId="77777777" w:rsidR="00584A73" w:rsidRPr="00D82689" w:rsidRDefault="00584A73" w:rsidP="00B14713">
            <w:pPr>
              <w:jc w:val="center"/>
            </w:pPr>
            <w:r>
              <w:t>1.1.2</w:t>
            </w:r>
          </w:p>
        </w:tc>
        <w:tc>
          <w:tcPr>
            <w:tcW w:w="2968" w:type="dxa"/>
            <w:tcBorders>
              <w:top w:val="single" w:sz="4" w:space="0" w:color="000000"/>
              <w:left w:val="single" w:sz="4" w:space="0" w:color="000000"/>
              <w:bottom w:val="single" w:sz="4" w:space="0" w:color="000000"/>
            </w:tcBorders>
            <w:vAlign w:val="center"/>
          </w:tcPr>
          <w:p w14:paraId="4C0B6A9E" w14:textId="77777777" w:rsidR="00584A73" w:rsidRPr="00D82689" w:rsidRDefault="00584A73" w:rsidP="00B14713">
            <w:r>
              <w:t>Using the MT599 instruction</w:t>
            </w:r>
          </w:p>
        </w:tc>
        <w:tc>
          <w:tcPr>
            <w:tcW w:w="2551" w:type="dxa"/>
            <w:tcBorders>
              <w:top w:val="single" w:sz="4" w:space="0" w:color="000000"/>
              <w:left w:val="single" w:sz="4" w:space="0" w:color="000000"/>
              <w:bottom w:val="single" w:sz="4" w:space="0" w:color="000000"/>
            </w:tcBorders>
            <w:vAlign w:val="center"/>
          </w:tcPr>
          <w:p w14:paraId="6D060D6E" w14:textId="77777777" w:rsidR="00584A73" w:rsidRPr="00D82689" w:rsidRDefault="00584A73" w:rsidP="00B14713">
            <w:pPr>
              <w:jc w:val="center"/>
            </w:pPr>
            <w:r>
              <w:t>200 USD per instruction</w:t>
            </w:r>
          </w:p>
        </w:tc>
        <w:tc>
          <w:tcPr>
            <w:tcW w:w="3260" w:type="dxa"/>
            <w:tcBorders>
              <w:top w:val="single" w:sz="4" w:space="0" w:color="000000"/>
              <w:left w:val="single" w:sz="4" w:space="0" w:color="000000"/>
              <w:bottom w:val="single" w:sz="4" w:space="0" w:color="000000"/>
              <w:right w:val="single" w:sz="4" w:space="0" w:color="000000"/>
            </w:tcBorders>
            <w:vAlign w:val="center"/>
          </w:tcPr>
          <w:p w14:paraId="1C3E3398" w14:textId="77777777" w:rsidR="00584A73" w:rsidRPr="00D82689" w:rsidRDefault="00584A73" w:rsidP="00B14713"/>
        </w:tc>
      </w:tr>
      <w:tr w:rsidR="00584A73" w:rsidRPr="00D82689" w14:paraId="7736A191" w14:textId="77777777" w:rsidTr="00B14713">
        <w:trPr>
          <w:trHeight w:val="160"/>
        </w:trPr>
        <w:tc>
          <w:tcPr>
            <w:tcW w:w="860" w:type="dxa"/>
            <w:tcBorders>
              <w:top w:val="single" w:sz="4" w:space="0" w:color="000000"/>
              <w:left w:val="single" w:sz="4" w:space="0" w:color="000000"/>
              <w:bottom w:val="single" w:sz="4" w:space="0" w:color="000000"/>
            </w:tcBorders>
            <w:vAlign w:val="center"/>
          </w:tcPr>
          <w:p w14:paraId="607B9D25" w14:textId="77777777" w:rsidR="00584A73" w:rsidRPr="00D82689" w:rsidRDefault="00584A73" w:rsidP="00B14713">
            <w:pPr>
              <w:jc w:val="center"/>
            </w:pPr>
            <w:r>
              <w:t>1.2</w:t>
            </w:r>
          </w:p>
        </w:tc>
        <w:tc>
          <w:tcPr>
            <w:tcW w:w="2968" w:type="dxa"/>
            <w:tcBorders>
              <w:top w:val="single" w:sz="4" w:space="0" w:color="000000"/>
              <w:left w:val="single" w:sz="4" w:space="0" w:color="000000"/>
              <w:bottom w:val="single" w:sz="4" w:space="0" w:color="000000"/>
            </w:tcBorders>
            <w:vAlign w:val="center"/>
          </w:tcPr>
          <w:p w14:paraId="0148812B" w14:textId="77777777" w:rsidR="00584A73" w:rsidRPr="00D82689" w:rsidRDefault="00584A73" w:rsidP="00B14713">
            <w:r>
              <w:t>Any external delivery-via-payment (DVP) instruction</w:t>
            </w:r>
          </w:p>
        </w:tc>
        <w:tc>
          <w:tcPr>
            <w:tcW w:w="2551" w:type="dxa"/>
            <w:tcBorders>
              <w:top w:val="single" w:sz="4" w:space="0" w:color="000000"/>
              <w:left w:val="single" w:sz="4" w:space="0" w:color="000000"/>
              <w:bottom w:val="single" w:sz="4" w:space="0" w:color="000000"/>
            </w:tcBorders>
            <w:vAlign w:val="center"/>
          </w:tcPr>
          <w:p w14:paraId="558FF13D" w14:textId="77777777" w:rsidR="00584A73" w:rsidRPr="00D82689" w:rsidRDefault="00584A73" w:rsidP="00B14713">
            <w:pPr>
              <w:jc w:val="center"/>
            </w:pPr>
            <w:r>
              <w:t>100 USD per instruction</w:t>
            </w:r>
          </w:p>
        </w:tc>
        <w:tc>
          <w:tcPr>
            <w:tcW w:w="3260" w:type="dxa"/>
            <w:tcBorders>
              <w:top w:val="single" w:sz="4" w:space="0" w:color="000000"/>
              <w:left w:val="single" w:sz="4" w:space="0" w:color="000000"/>
              <w:bottom w:val="single" w:sz="4" w:space="0" w:color="000000"/>
              <w:right w:val="single" w:sz="4" w:space="0" w:color="000000"/>
            </w:tcBorders>
            <w:vAlign w:val="center"/>
          </w:tcPr>
          <w:p w14:paraId="0E2687DB" w14:textId="77777777" w:rsidR="00584A73" w:rsidRPr="00D82689" w:rsidRDefault="00584A73" w:rsidP="00B14713"/>
        </w:tc>
      </w:tr>
      <w:tr w:rsidR="001E1B04" w:rsidRPr="00D82689" w14:paraId="293D1185" w14:textId="77777777" w:rsidTr="00B14713">
        <w:trPr>
          <w:trHeight w:val="160"/>
        </w:trPr>
        <w:tc>
          <w:tcPr>
            <w:tcW w:w="860" w:type="dxa"/>
            <w:tcBorders>
              <w:top w:val="single" w:sz="4" w:space="0" w:color="000000"/>
              <w:left w:val="single" w:sz="4" w:space="0" w:color="000000"/>
              <w:bottom w:val="single" w:sz="4" w:space="0" w:color="000000"/>
            </w:tcBorders>
            <w:vAlign w:val="center"/>
          </w:tcPr>
          <w:p w14:paraId="05E11CAF" w14:textId="77777777" w:rsidR="001E1B04" w:rsidRPr="00D82689" w:rsidRDefault="001E1B04" w:rsidP="001E1B04">
            <w:pPr>
              <w:jc w:val="center"/>
            </w:pPr>
            <w:r>
              <w:t>1.3</w:t>
            </w:r>
          </w:p>
        </w:tc>
        <w:tc>
          <w:tcPr>
            <w:tcW w:w="2968" w:type="dxa"/>
            <w:tcBorders>
              <w:top w:val="single" w:sz="4" w:space="0" w:color="000000"/>
              <w:left w:val="single" w:sz="4" w:space="0" w:color="000000"/>
              <w:bottom w:val="single" w:sz="4" w:space="0" w:color="000000"/>
            </w:tcBorders>
            <w:vAlign w:val="center"/>
          </w:tcPr>
          <w:p w14:paraId="2816135B" w14:textId="77777777" w:rsidR="001E1B04" w:rsidRPr="00D82689" w:rsidRDefault="001E1B04" w:rsidP="001E1B04">
            <w:r>
              <w:t>Conversion of DR</w:t>
            </w:r>
          </w:p>
        </w:tc>
        <w:tc>
          <w:tcPr>
            <w:tcW w:w="2551" w:type="dxa"/>
            <w:tcBorders>
              <w:top w:val="single" w:sz="4" w:space="0" w:color="000000"/>
              <w:left w:val="single" w:sz="4" w:space="0" w:color="000000"/>
              <w:bottom w:val="single" w:sz="4" w:space="0" w:color="000000"/>
            </w:tcBorders>
            <w:vAlign w:val="center"/>
          </w:tcPr>
          <w:p w14:paraId="71F16338" w14:textId="77777777" w:rsidR="001E1B04" w:rsidRPr="00D82689" w:rsidRDefault="001E1B04" w:rsidP="001E1B04">
            <w:pPr>
              <w:jc w:val="center"/>
            </w:pPr>
            <w:r>
              <w:t>3% per Value</w:t>
            </w:r>
          </w:p>
        </w:tc>
        <w:tc>
          <w:tcPr>
            <w:tcW w:w="3260" w:type="dxa"/>
            <w:tcBorders>
              <w:top w:val="single" w:sz="4" w:space="0" w:color="000000"/>
              <w:left w:val="single" w:sz="4" w:space="0" w:color="000000"/>
              <w:bottom w:val="single" w:sz="4" w:space="0" w:color="000000"/>
              <w:right w:val="single" w:sz="4" w:space="0" w:color="000000"/>
            </w:tcBorders>
            <w:vAlign w:val="center"/>
          </w:tcPr>
          <w:p w14:paraId="54786164" w14:textId="77777777" w:rsidR="001E1B04" w:rsidRPr="00D82689" w:rsidRDefault="001E1B04" w:rsidP="001E1B04">
            <w:r>
              <w:t>For equities: Last price</w:t>
            </w:r>
          </w:p>
        </w:tc>
      </w:tr>
      <w:tr w:rsidR="001E1B04" w:rsidRPr="00D82689" w14:paraId="633A4EFA" w14:textId="77777777" w:rsidTr="003D62E5">
        <w:trPr>
          <w:trHeight w:val="368"/>
        </w:trPr>
        <w:tc>
          <w:tcPr>
            <w:tcW w:w="860" w:type="dxa"/>
            <w:tcBorders>
              <w:top w:val="single" w:sz="4" w:space="0" w:color="000000"/>
              <w:left w:val="single" w:sz="4" w:space="0" w:color="000000"/>
              <w:bottom w:val="single" w:sz="4" w:space="0" w:color="000000"/>
            </w:tcBorders>
            <w:vAlign w:val="center"/>
          </w:tcPr>
          <w:p w14:paraId="26D5ED24" w14:textId="77777777" w:rsidR="001E1B04" w:rsidRDefault="001E1B04" w:rsidP="001E1B04">
            <w:pPr>
              <w:jc w:val="center"/>
            </w:pPr>
            <w:r>
              <w:t>2</w:t>
            </w:r>
          </w:p>
        </w:tc>
        <w:tc>
          <w:tcPr>
            <w:tcW w:w="8779" w:type="dxa"/>
            <w:gridSpan w:val="3"/>
            <w:tcBorders>
              <w:top w:val="single" w:sz="4" w:space="0" w:color="000000"/>
              <w:left w:val="single" w:sz="4" w:space="0" w:color="000000"/>
              <w:bottom w:val="single" w:sz="4" w:space="0" w:color="000000"/>
              <w:right w:val="single" w:sz="4" w:space="0" w:color="000000"/>
            </w:tcBorders>
            <w:vAlign w:val="center"/>
          </w:tcPr>
          <w:p w14:paraId="77F73F0A" w14:textId="77777777" w:rsidR="001E1B04" w:rsidRPr="00C022B9" w:rsidRDefault="001E1B04" w:rsidP="001E1B04">
            <w:pPr>
              <w:rPr>
                <w:b/>
                <w:bCs/>
              </w:rPr>
            </w:pPr>
            <w:r>
              <w:rPr>
                <w:b/>
                <w:bCs/>
              </w:rPr>
              <w:t>Safekeeping</w:t>
            </w:r>
          </w:p>
        </w:tc>
      </w:tr>
      <w:tr w:rsidR="001E1B04" w:rsidRPr="00D82689" w14:paraId="77EB540B" w14:textId="77777777" w:rsidTr="003D62E5">
        <w:trPr>
          <w:trHeight w:val="368"/>
        </w:trPr>
        <w:tc>
          <w:tcPr>
            <w:tcW w:w="860" w:type="dxa"/>
            <w:tcBorders>
              <w:top w:val="single" w:sz="4" w:space="0" w:color="000000"/>
              <w:left w:val="single" w:sz="4" w:space="0" w:color="000000"/>
              <w:bottom w:val="single" w:sz="4" w:space="0" w:color="000000"/>
            </w:tcBorders>
            <w:vAlign w:val="center"/>
          </w:tcPr>
          <w:p w14:paraId="4EF4BFAF" w14:textId="77777777" w:rsidR="001E1B04" w:rsidRPr="001E1B04" w:rsidRDefault="001E1B04" w:rsidP="001E1B04">
            <w:pPr>
              <w:jc w:val="center"/>
            </w:pPr>
            <w:r>
              <w:t>2.1</w:t>
            </w:r>
          </w:p>
        </w:tc>
        <w:tc>
          <w:tcPr>
            <w:tcW w:w="8779" w:type="dxa"/>
            <w:gridSpan w:val="3"/>
            <w:tcBorders>
              <w:top w:val="single" w:sz="4" w:space="0" w:color="000000"/>
              <w:left w:val="single" w:sz="4" w:space="0" w:color="000000"/>
              <w:bottom w:val="single" w:sz="4" w:space="0" w:color="000000"/>
              <w:right w:val="single" w:sz="4" w:space="0" w:color="000000"/>
            </w:tcBorders>
            <w:vAlign w:val="center"/>
          </w:tcPr>
          <w:p w14:paraId="1E6A87E0" w14:textId="77777777" w:rsidR="001E1B04" w:rsidRPr="00D82689" w:rsidRDefault="001E1B04" w:rsidP="001E1B04">
            <w:r>
              <w:rPr>
                <w:b/>
                <w:bCs/>
              </w:rPr>
              <w:t>Securites, where the last depository is Euroclear/Clearstream</w:t>
            </w:r>
          </w:p>
        </w:tc>
      </w:tr>
      <w:tr w:rsidR="001E1B04" w:rsidRPr="00D82689" w14:paraId="27639C96" w14:textId="77777777" w:rsidTr="00B14713">
        <w:trPr>
          <w:trHeight w:val="368"/>
        </w:trPr>
        <w:tc>
          <w:tcPr>
            <w:tcW w:w="860" w:type="dxa"/>
            <w:tcBorders>
              <w:top w:val="single" w:sz="4" w:space="0" w:color="000000"/>
              <w:left w:val="single" w:sz="4" w:space="0" w:color="000000"/>
              <w:bottom w:val="single" w:sz="4" w:space="0" w:color="000000"/>
            </w:tcBorders>
            <w:vAlign w:val="center"/>
          </w:tcPr>
          <w:p w14:paraId="1A0428A1" w14:textId="77777777" w:rsidR="001E1B04" w:rsidRPr="00D82689" w:rsidRDefault="001E1B04" w:rsidP="001E1B04">
            <w:pPr>
              <w:jc w:val="center"/>
            </w:pPr>
            <w:r>
              <w:t>2.1.1</w:t>
            </w:r>
          </w:p>
        </w:tc>
        <w:tc>
          <w:tcPr>
            <w:tcW w:w="2968" w:type="dxa"/>
            <w:tcBorders>
              <w:top w:val="single" w:sz="4" w:space="0" w:color="000000"/>
              <w:left w:val="single" w:sz="4" w:space="0" w:color="000000"/>
              <w:bottom w:val="single" w:sz="4" w:space="0" w:color="000000"/>
            </w:tcBorders>
            <w:vAlign w:val="center"/>
          </w:tcPr>
          <w:p w14:paraId="2C975AEB" w14:textId="77777777" w:rsidR="001E1B04" w:rsidRPr="00D82689" w:rsidRDefault="001E1B04" w:rsidP="001E1B04">
            <w:r>
              <w:t>Custody Services</w:t>
            </w:r>
          </w:p>
        </w:tc>
        <w:tc>
          <w:tcPr>
            <w:tcW w:w="2551" w:type="dxa"/>
            <w:tcBorders>
              <w:top w:val="single" w:sz="4" w:space="0" w:color="000000"/>
              <w:left w:val="single" w:sz="4" w:space="0" w:color="000000"/>
              <w:bottom w:val="single" w:sz="4" w:space="0" w:color="000000"/>
            </w:tcBorders>
            <w:vAlign w:val="center"/>
          </w:tcPr>
          <w:p w14:paraId="4587A636" w14:textId="77777777" w:rsidR="001E1B04" w:rsidRPr="00D82689" w:rsidRDefault="001E1B04" w:rsidP="001E1B04">
            <w:pPr>
              <w:jc w:val="center"/>
            </w:pPr>
            <w:r>
              <w:t>10 bps p.a.</w:t>
            </w:r>
          </w:p>
        </w:tc>
        <w:tc>
          <w:tcPr>
            <w:tcW w:w="3260" w:type="dxa"/>
            <w:tcBorders>
              <w:top w:val="single" w:sz="4" w:space="0" w:color="000000"/>
              <w:left w:val="single" w:sz="4" w:space="0" w:color="000000"/>
              <w:bottom w:val="single" w:sz="4" w:space="0" w:color="000000"/>
              <w:right w:val="single" w:sz="4" w:space="0" w:color="000000"/>
            </w:tcBorders>
            <w:vAlign w:val="center"/>
          </w:tcPr>
          <w:p w14:paraId="00005258" w14:textId="77777777" w:rsidR="001E1B04" w:rsidRPr="00D82689" w:rsidRDefault="001E1B04" w:rsidP="001E1B04">
            <w:r>
              <w:t>For equities: Last price</w:t>
            </w:r>
            <w:r>
              <w:br/>
              <w:t>For Fixed income: Notional value</w:t>
            </w:r>
          </w:p>
        </w:tc>
      </w:tr>
      <w:tr w:rsidR="001E1B04" w:rsidRPr="00D82689" w14:paraId="63951968" w14:textId="77777777" w:rsidTr="00B14713">
        <w:trPr>
          <w:trHeight w:val="32"/>
        </w:trPr>
        <w:tc>
          <w:tcPr>
            <w:tcW w:w="860" w:type="dxa"/>
            <w:tcBorders>
              <w:top w:val="single" w:sz="4" w:space="0" w:color="000000"/>
              <w:left w:val="single" w:sz="4" w:space="0" w:color="000000"/>
              <w:bottom w:val="single" w:sz="4" w:space="0" w:color="000000"/>
            </w:tcBorders>
            <w:vAlign w:val="center"/>
          </w:tcPr>
          <w:p w14:paraId="337AFD30" w14:textId="77777777" w:rsidR="001E1B04" w:rsidRPr="00D82689" w:rsidRDefault="001E1B04" w:rsidP="001E1B04">
            <w:pPr>
              <w:jc w:val="center"/>
            </w:pPr>
            <w:r>
              <w:t>2.2</w:t>
            </w:r>
          </w:p>
        </w:tc>
        <w:tc>
          <w:tcPr>
            <w:tcW w:w="8779" w:type="dxa"/>
            <w:gridSpan w:val="3"/>
            <w:tcBorders>
              <w:top w:val="single" w:sz="4" w:space="0" w:color="000000"/>
              <w:left w:val="single" w:sz="4" w:space="0" w:color="000000"/>
              <w:bottom w:val="single" w:sz="4" w:space="0" w:color="000000"/>
              <w:right w:val="single" w:sz="4" w:space="0" w:color="000000"/>
            </w:tcBorders>
            <w:vAlign w:val="center"/>
          </w:tcPr>
          <w:p w14:paraId="104FE1C6" w14:textId="77777777" w:rsidR="001E1B04" w:rsidRPr="00C022B9" w:rsidRDefault="001E1B04" w:rsidP="001E1B04">
            <w:pPr>
              <w:rPr>
                <w:b/>
                <w:bCs/>
              </w:rPr>
            </w:pPr>
            <w:r>
              <w:rPr>
                <w:b/>
                <w:bCs/>
              </w:rPr>
              <w:t>Securites, where the last depository is KACD</w:t>
            </w:r>
          </w:p>
        </w:tc>
      </w:tr>
      <w:tr w:rsidR="001E1B04" w:rsidRPr="00D82689" w14:paraId="75F92D06" w14:textId="77777777" w:rsidTr="00B14713">
        <w:trPr>
          <w:trHeight w:val="194"/>
        </w:trPr>
        <w:tc>
          <w:tcPr>
            <w:tcW w:w="860" w:type="dxa"/>
            <w:tcBorders>
              <w:top w:val="single" w:sz="4" w:space="0" w:color="000000"/>
              <w:left w:val="single" w:sz="4" w:space="0" w:color="000000"/>
              <w:bottom w:val="single" w:sz="4" w:space="0" w:color="000000"/>
            </w:tcBorders>
            <w:vAlign w:val="center"/>
          </w:tcPr>
          <w:p w14:paraId="69FC98A0" w14:textId="77777777" w:rsidR="001E1B04" w:rsidRPr="00D82689" w:rsidRDefault="001E1B04" w:rsidP="001E1B04">
            <w:pPr>
              <w:jc w:val="center"/>
            </w:pPr>
            <w:r>
              <w:t>2.2.1</w:t>
            </w:r>
          </w:p>
        </w:tc>
        <w:tc>
          <w:tcPr>
            <w:tcW w:w="2968" w:type="dxa"/>
            <w:tcBorders>
              <w:top w:val="single" w:sz="4" w:space="0" w:color="000000"/>
              <w:left w:val="single" w:sz="4" w:space="0" w:color="000000"/>
              <w:bottom w:val="single" w:sz="4" w:space="0" w:color="000000"/>
            </w:tcBorders>
            <w:vAlign w:val="center"/>
          </w:tcPr>
          <w:p w14:paraId="1A7816E8" w14:textId="77777777" w:rsidR="001E1B04" w:rsidRPr="00D82689" w:rsidRDefault="001E1B04" w:rsidP="001E1B04">
            <w:r>
              <w:t>Custody Services</w:t>
            </w:r>
          </w:p>
        </w:tc>
        <w:tc>
          <w:tcPr>
            <w:tcW w:w="2551" w:type="dxa"/>
            <w:tcBorders>
              <w:top w:val="single" w:sz="4" w:space="0" w:color="000000"/>
              <w:left w:val="single" w:sz="4" w:space="0" w:color="000000"/>
              <w:bottom w:val="single" w:sz="4" w:space="0" w:color="000000"/>
            </w:tcBorders>
            <w:vAlign w:val="center"/>
          </w:tcPr>
          <w:p w14:paraId="0C138186" w14:textId="77777777" w:rsidR="001E1B04" w:rsidRPr="00D82689" w:rsidRDefault="001E1B04" w:rsidP="001E1B04">
            <w:pPr>
              <w:jc w:val="center"/>
            </w:pPr>
            <w:r>
              <w:t>3 bps p.a.</w:t>
            </w:r>
          </w:p>
        </w:tc>
        <w:tc>
          <w:tcPr>
            <w:tcW w:w="3260" w:type="dxa"/>
            <w:tcBorders>
              <w:top w:val="single" w:sz="4" w:space="0" w:color="000000"/>
              <w:left w:val="single" w:sz="4" w:space="0" w:color="000000"/>
              <w:bottom w:val="single" w:sz="4" w:space="0" w:color="000000"/>
              <w:right w:val="single" w:sz="4" w:space="0" w:color="000000"/>
            </w:tcBorders>
            <w:vAlign w:val="center"/>
          </w:tcPr>
          <w:p w14:paraId="635CB0D8" w14:textId="77777777" w:rsidR="001E1B04" w:rsidRPr="00D82689" w:rsidRDefault="001E1B04" w:rsidP="001E1B04">
            <w:r>
              <w:t>For equities: Last price</w:t>
            </w:r>
            <w:r>
              <w:br/>
              <w:t>For fixed income: Notional value</w:t>
            </w:r>
          </w:p>
        </w:tc>
      </w:tr>
      <w:tr w:rsidR="001E1B04" w:rsidRPr="00D82689" w14:paraId="087059DE" w14:textId="77777777" w:rsidTr="00B14713">
        <w:trPr>
          <w:trHeight w:val="20"/>
        </w:trPr>
        <w:tc>
          <w:tcPr>
            <w:tcW w:w="860" w:type="dxa"/>
            <w:tcBorders>
              <w:top w:val="single" w:sz="4" w:space="0" w:color="000000"/>
              <w:left w:val="single" w:sz="4" w:space="0" w:color="000000"/>
              <w:bottom w:val="single" w:sz="4" w:space="0" w:color="000000"/>
            </w:tcBorders>
            <w:vAlign w:val="center"/>
          </w:tcPr>
          <w:p w14:paraId="73414839" w14:textId="77777777" w:rsidR="001E1B04" w:rsidRPr="00D82689" w:rsidRDefault="001E1B04" w:rsidP="001E1B04">
            <w:pPr>
              <w:jc w:val="center"/>
            </w:pPr>
            <w:r>
              <w:t>2.3</w:t>
            </w:r>
          </w:p>
        </w:tc>
        <w:tc>
          <w:tcPr>
            <w:tcW w:w="8779" w:type="dxa"/>
            <w:gridSpan w:val="3"/>
            <w:tcBorders>
              <w:top w:val="single" w:sz="4" w:space="0" w:color="000000"/>
              <w:left w:val="single" w:sz="4" w:space="0" w:color="000000"/>
              <w:bottom w:val="single" w:sz="4" w:space="0" w:color="000000"/>
              <w:right w:val="single" w:sz="4" w:space="0" w:color="000000"/>
            </w:tcBorders>
            <w:vAlign w:val="center"/>
          </w:tcPr>
          <w:p w14:paraId="2A7C9517" w14:textId="77777777" w:rsidR="001E1B04" w:rsidRPr="00C022B9" w:rsidRDefault="001E1B04" w:rsidP="001E1B04">
            <w:pPr>
              <w:rPr>
                <w:b/>
                <w:bCs/>
              </w:rPr>
            </w:pPr>
            <w:r>
              <w:rPr>
                <w:b/>
                <w:bCs/>
              </w:rPr>
              <w:t>Securites, where the last depository is AIX</w:t>
            </w:r>
          </w:p>
        </w:tc>
      </w:tr>
      <w:tr w:rsidR="001E1B04" w:rsidRPr="00D82689" w14:paraId="308E566F" w14:textId="77777777" w:rsidTr="00B14713">
        <w:trPr>
          <w:trHeight w:val="20"/>
        </w:trPr>
        <w:tc>
          <w:tcPr>
            <w:tcW w:w="860" w:type="dxa"/>
            <w:tcBorders>
              <w:top w:val="single" w:sz="4" w:space="0" w:color="000000"/>
              <w:left w:val="single" w:sz="4" w:space="0" w:color="000000"/>
              <w:bottom w:val="single" w:sz="4" w:space="0" w:color="000000"/>
            </w:tcBorders>
            <w:vAlign w:val="center"/>
          </w:tcPr>
          <w:p w14:paraId="59344A33" w14:textId="77777777" w:rsidR="001E1B04" w:rsidRPr="00D82689" w:rsidRDefault="001E1B04" w:rsidP="001E1B04">
            <w:pPr>
              <w:jc w:val="center"/>
            </w:pPr>
            <w:r>
              <w:t>2.3.1</w:t>
            </w:r>
          </w:p>
        </w:tc>
        <w:tc>
          <w:tcPr>
            <w:tcW w:w="2968" w:type="dxa"/>
            <w:tcBorders>
              <w:top w:val="single" w:sz="4" w:space="0" w:color="000000"/>
              <w:left w:val="single" w:sz="4" w:space="0" w:color="000000"/>
              <w:bottom w:val="single" w:sz="4" w:space="0" w:color="000000"/>
            </w:tcBorders>
            <w:vAlign w:val="center"/>
          </w:tcPr>
          <w:p w14:paraId="460F7B57" w14:textId="77777777" w:rsidR="001E1B04" w:rsidRPr="00D82689" w:rsidRDefault="001E1B04" w:rsidP="001E1B04">
            <w:r>
              <w:t>Custody Services</w:t>
            </w:r>
          </w:p>
        </w:tc>
        <w:tc>
          <w:tcPr>
            <w:tcW w:w="2551" w:type="dxa"/>
            <w:tcBorders>
              <w:top w:val="single" w:sz="4" w:space="0" w:color="000000"/>
              <w:left w:val="single" w:sz="4" w:space="0" w:color="000000"/>
              <w:bottom w:val="single" w:sz="4" w:space="0" w:color="000000"/>
            </w:tcBorders>
            <w:vAlign w:val="center"/>
          </w:tcPr>
          <w:p w14:paraId="5AFB9943" w14:textId="77777777" w:rsidR="001E1B04" w:rsidRPr="00D82689" w:rsidRDefault="001E1B04" w:rsidP="001E1B04">
            <w:pPr>
              <w:jc w:val="center"/>
            </w:pPr>
            <w:r>
              <w:t>3 bps p.a.</w:t>
            </w:r>
          </w:p>
        </w:tc>
        <w:tc>
          <w:tcPr>
            <w:tcW w:w="3260" w:type="dxa"/>
            <w:tcBorders>
              <w:top w:val="single" w:sz="4" w:space="0" w:color="000000"/>
              <w:left w:val="single" w:sz="4" w:space="0" w:color="000000"/>
              <w:bottom w:val="single" w:sz="4" w:space="0" w:color="000000"/>
              <w:right w:val="single" w:sz="4" w:space="0" w:color="000000"/>
            </w:tcBorders>
            <w:vAlign w:val="center"/>
          </w:tcPr>
          <w:p w14:paraId="01338552" w14:textId="77777777" w:rsidR="001E1B04" w:rsidRPr="00D82689" w:rsidRDefault="001E1B04" w:rsidP="001E1B04"/>
        </w:tc>
      </w:tr>
      <w:tr w:rsidR="001E1B04" w:rsidRPr="00D82689" w14:paraId="115D4538" w14:textId="77777777" w:rsidTr="00B14713">
        <w:trPr>
          <w:trHeight w:val="20"/>
        </w:trPr>
        <w:tc>
          <w:tcPr>
            <w:tcW w:w="860" w:type="dxa"/>
            <w:tcBorders>
              <w:top w:val="single" w:sz="4" w:space="0" w:color="000000"/>
              <w:left w:val="single" w:sz="4" w:space="0" w:color="000000"/>
              <w:bottom w:val="single" w:sz="4" w:space="0" w:color="000000"/>
            </w:tcBorders>
            <w:vAlign w:val="center"/>
          </w:tcPr>
          <w:p w14:paraId="5F96AA47" w14:textId="77777777" w:rsidR="001E1B04" w:rsidRPr="00D82689" w:rsidRDefault="001E1B04" w:rsidP="001E1B04">
            <w:pPr>
              <w:jc w:val="center"/>
            </w:pPr>
            <w:r>
              <w:t>2.4</w:t>
            </w:r>
          </w:p>
        </w:tc>
        <w:tc>
          <w:tcPr>
            <w:tcW w:w="8779" w:type="dxa"/>
            <w:gridSpan w:val="3"/>
            <w:tcBorders>
              <w:top w:val="single" w:sz="4" w:space="0" w:color="000000"/>
              <w:left w:val="single" w:sz="4" w:space="0" w:color="000000"/>
              <w:bottom w:val="single" w:sz="4" w:space="0" w:color="000000"/>
              <w:right w:val="single" w:sz="4" w:space="0" w:color="000000"/>
            </w:tcBorders>
            <w:vAlign w:val="center"/>
          </w:tcPr>
          <w:p w14:paraId="320F55D9" w14:textId="77777777" w:rsidR="001E1B04" w:rsidRPr="00C022B9" w:rsidRDefault="001E1B04" w:rsidP="001E1B04">
            <w:pPr>
              <w:rPr>
                <w:b/>
                <w:bCs/>
              </w:rPr>
            </w:pPr>
            <w:r>
              <w:rPr>
                <w:b/>
                <w:bCs/>
              </w:rPr>
              <w:t>Securites, where the last depository is DTC</w:t>
            </w:r>
          </w:p>
        </w:tc>
      </w:tr>
      <w:tr w:rsidR="001E1B04" w:rsidRPr="00D82689" w14:paraId="4BE98E51" w14:textId="77777777" w:rsidTr="00B14713">
        <w:trPr>
          <w:trHeight w:val="20"/>
        </w:trPr>
        <w:tc>
          <w:tcPr>
            <w:tcW w:w="860" w:type="dxa"/>
            <w:tcBorders>
              <w:top w:val="single" w:sz="4" w:space="0" w:color="000000"/>
              <w:left w:val="single" w:sz="4" w:space="0" w:color="000000"/>
              <w:bottom w:val="single" w:sz="4" w:space="0" w:color="000000"/>
            </w:tcBorders>
            <w:vAlign w:val="center"/>
          </w:tcPr>
          <w:p w14:paraId="42353196" w14:textId="77777777" w:rsidR="001E1B04" w:rsidRPr="00D82689" w:rsidRDefault="001E1B04" w:rsidP="001E1B04">
            <w:pPr>
              <w:jc w:val="center"/>
            </w:pPr>
            <w:r>
              <w:t>2.4.1</w:t>
            </w:r>
          </w:p>
        </w:tc>
        <w:tc>
          <w:tcPr>
            <w:tcW w:w="2968" w:type="dxa"/>
            <w:tcBorders>
              <w:top w:val="single" w:sz="4" w:space="0" w:color="000000"/>
              <w:left w:val="single" w:sz="4" w:space="0" w:color="000000"/>
              <w:bottom w:val="single" w:sz="4" w:space="0" w:color="000000"/>
            </w:tcBorders>
            <w:vAlign w:val="center"/>
          </w:tcPr>
          <w:p w14:paraId="0DBC22D5" w14:textId="77777777" w:rsidR="001E1B04" w:rsidRPr="00D82689" w:rsidRDefault="001E1B04" w:rsidP="001E1B04">
            <w:r>
              <w:t>Custody Services</w:t>
            </w:r>
          </w:p>
        </w:tc>
        <w:tc>
          <w:tcPr>
            <w:tcW w:w="2551" w:type="dxa"/>
            <w:tcBorders>
              <w:top w:val="single" w:sz="4" w:space="0" w:color="000000"/>
              <w:left w:val="single" w:sz="4" w:space="0" w:color="000000"/>
              <w:bottom w:val="single" w:sz="4" w:space="0" w:color="000000"/>
            </w:tcBorders>
            <w:vAlign w:val="center"/>
          </w:tcPr>
          <w:p w14:paraId="059108F8" w14:textId="77777777" w:rsidR="001E1B04" w:rsidRPr="00D82689" w:rsidRDefault="001E1B04" w:rsidP="001E1B04">
            <w:pPr>
              <w:jc w:val="center"/>
            </w:pPr>
            <w:r>
              <w:t>Free of charge</w:t>
            </w:r>
          </w:p>
        </w:tc>
        <w:tc>
          <w:tcPr>
            <w:tcW w:w="3260" w:type="dxa"/>
            <w:tcBorders>
              <w:top w:val="single" w:sz="4" w:space="0" w:color="000000"/>
              <w:left w:val="single" w:sz="4" w:space="0" w:color="000000"/>
              <w:bottom w:val="single" w:sz="4" w:space="0" w:color="000000"/>
              <w:right w:val="single" w:sz="4" w:space="0" w:color="000000"/>
            </w:tcBorders>
            <w:vAlign w:val="center"/>
          </w:tcPr>
          <w:p w14:paraId="2811BF6D" w14:textId="77777777" w:rsidR="001E1B04" w:rsidRPr="00D82689" w:rsidRDefault="001E1B04" w:rsidP="001E1B04"/>
        </w:tc>
      </w:tr>
      <w:tr w:rsidR="001E1B04" w:rsidRPr="00D82689" w14:paraId="090F5CA4" w14:textId="77777777" w:rsidTr="00693251">
        <w:trPr>
          <w:trHeight w:val="20"/>
        </w:trPr>
        <w:tc>
          <w:tcPr>
            <w:tcW w:w="860" w:type="dxa"/>
            <w:tcBorders>
              <w:top w:val="single" w:sz="4" w:space="0" w:color="000000"/>
              <w:left w:val="single" w:sz="4" w:space="0" w:color="000000"/>
              <w:bottom w:val="single" w:sz="4" w:space="0" w:color="000000"/>
            </w:tcBorders>
            <w:vAlign w:val="center"/>
          </w:tcPr>
          <w:p w14:paraId="5A058B79" w14:textId="77777777" w:rsidR="001E1B04" w:rsidRDefault="001E1B04" w:rsidP="001E1B04">
            <w:pPr>
              <w:jc w:val="center"/>
            </w:pPr>
            <w:r>
              <w:t>2.5</w:t>
            </w:r>
          </w:p>
        </w:tc>
        <w:tc>
          <w:tcPr>
            <w:tcW w:w="8779" w:type="dxa"/>
            <w:gridSpan w:val="3"/>
            <w:tcBorders>
              <w:top w:val="single" w:sz="4" w:space="0" w:color="000000"/>
              <w:left w:val="single" w:sz="4" w:space="0" w:color="000000"/>
              <w:bottom w:val="single" w:sz="4" w:space="0" w:color="000000"/>
              <w:right w:val="single" w:sz="4" w:space="0" w:color="000000"/>
            </w:tcBorders>
            <w:vAlign w:val="center"/>
          </w:tcPr>
          <w:p w14:paraId="21C476D4" w14:textId="77777777" w:rsidR="001E1B04" w:rsidRPr="00D82689" w:rsidRDefault="001E1B04" w:rsidP="001E1B04">
            <w:r>
              <w:rPr>
                <w:b/>
                <w:bCs/>
              </w:rPr>
              <w:t>Securites, where the last depository is ITS</w:t>
            </w:r>
          </w:p>
        </w:tc>
      </w:tr>
      <w:tr w:rsidR="001E1B04" w:rsidRPr="00D82689" w14:paraId="7C78FDFA" w14:textId="77777777" w:rsidTr="00B14713">
        <w:trPr>
          <w:trHeight w:val="20"/>
        </w:trPr>
        <w:tc>
          <w:tcPr>
            <w:tcW w:w="860" w:type="dxa"/>
            <w:tcBorders>
              <w:top w:val="single" w:sz="4" w:space="0" w:color="000000"/>
              <w:left w:val="single" w:sz="4" w:space="0" w:color="000000"/>
              <w:bottom w:val="single" w:sz="4" w:space="0" w:color="000000"/>
            </w:tcBorders>
            <w:vAlign w:val="center"/>
          </w:tcPr>
          <w:p w14:paraId="2D61A6D8" w14:textId="77777777" w:rsidR="001E1B04" w:rsidRDefault="001E1B04" w:rsidP="001E1B04">
            <w:pPr>
              <w:jc w:val="center"/>
            </w:pPr>
            <w:r>
              <w:t>2.5.1</w:t>
            </w:r>
          </w:p>
        </w:tc>
        <w:tc>
          <w:tcPr>
            <w:tcW w:w="2968" w:type="dxa"/>
            <w:tcBorders>
              <w:top w:val="single" w:sz="4" w:space="0" w:color="000000"/>
              <w:left w:val="single" w:sz="4" w:space="0" w:color="000000"/>
              <w:bottom w:val="single" w:sz="4" w:space="0" w:color="000000"/>
            </w:tcBorders>
            <w:vAlign w:val="center"/>
          </w:tcPr>
          <w:p w14:paraId="164A66D7" w14:textId="77777777" w:rsidR="001E1B04" w:rsidRPr="00C022B9" w:rsidRDefault="001E1B04" w:rsidP="001E1B04">
            <w:pPr>
              <w:rPr>
                <w:b/>
                <w:bCs/>
              </w:rPr>
            </w:pPr>
            <w:r>
              <w:t>Custody Services</w:t>
            </w:r>
          </w:p>
        </w:tc>
        <w:tc>
          <w:tcPr>
            <w:tcW w:w="2551" w:type="dxa"/>
            <w:tcBorders>
              <w:top w:val="single" w:sz="4" w:space="0" w:color="000000"/>
              <w:left w:val="single" w:sz="4" w:space="0" w:color="000000"/>
              <w:bottom w:val="single" w:sz="4" w:space="0" w:color="000000"/>
            </w:tcBorders>
            <w:vAlign w:val="center"/>
          </w:tcPr>
          <w:p w14:paraId="3F580CB0" w14:textId="77777777" w:rsidR="001E1B04" w:rsidRPr="00D82689" w:rsidRDefault="001E1B04" w:rsidP="001E1B04">
            <w:pPr>
              <w:jc w:val="center"/>
            </w:pPr>
            <w:r>
              <w:t>Free of charge</w:t>
            </w:r>
          </w:p>
        </w:tc>
        <w:tc>
          <w:tcPr>
            <w:tcW w:w="3260" w:type="dxa"/>
            <w:tcBorders>
              <w:top w:val="single" w:sz="4" w:space="0" w:color="000000"/>
              <w:left w:val="single" w:sz="4" w:space="0" w:color="000000"/>
              <w:bottom w:val="single" w:sz="4" w:space="0" w:color="000000"/>
              <w:right w:val="single" w:sz="4" w:space="0" w:color="000000"/>
            </w:tcBorders>
            <w:vAlign w:val="center"/>
          </w:tcPr>
          <w:p w14:paraId="2FEB99D3" w14:textId="77777777" w:rsidR="001E1B04" w:rsidRPr="00D82689" w:rsidRDefault="001E1B04" w:rsidP="001E1B04"/>
        </w:tc>
      </w:tr>
      <w:tr w:rsidR="00E50259" w:rsidRPr="00D82689" w14:paraId="339D2402" w14:textId="77777777" w:rsidTr="00AB1AB1">
        <w:trPr>
          <w:trHeight w:val="20"/>
        </w:trPr>
        <w:tc>
          <w:tcPr>
            <w:tcW w:w="860" w:type="dxa"/>
            <w:tcBorders>
              <w:top w:val="single" w:sz="4" w:space="0" w:color="000000"/>
              <w:left w:val="single" w:sz="4" w:space="0" w:color="000000"/>
              <w:bottom w:val="single" w:sz="4" w:space="0" w:color="000000"/>
            </w:tcBorders>
            <w:vAlign w:val="center"/>
          </w:tcPr>
          <w:p w14:paraId="355562A0" w14:textId="2E7B291C" w:rsidR="00E50259" w:rsidRDefault="00E50259" w:rsidP="001E1B04">
            <w:pPr>
              <w:jc w:val="center"/>
            </w:pPr>
            <w:r>
              <w:t>3</w:t>
            </w:r>
          </w:p>
        </w:tc>
        <w:tc>
          <w:tcPr>
            <w:tcW w:w="8779" w:type="dxa"/>
            <w:gridSpan w:val="3"/>
            <w:tcBorders>
              <w:top w:val="single" w:sz="4" w:space="0" w:color="000000"/>
              <w:left w:val="single" w:sz="4" w:space="0" w:color="000000"/>
              <w:bottom w:val="single" w:sz="4" w:space="0" w:color="000000"/>
              <w:right w:val="single" w:sz="4" w:space="0" w:color="000000"/>
            </w:tcBorders>
            <w:vAlign w:val="center"/>
          </w:tcPr>
          <w:p w14:paraId="2A986666" w14:textId="4FD5B832" w:rsidR="00E50259" w:rsidRPr="00E50259" w:rsidRDefault="00E50259" w:rsidP="001E1B04">
            <w:pPr>
              <w:rPr>
                <w:b/>
                <w:bCs/>
              </w:rPr>
            </w:pPr>
            <w:r>
              <w:rPr>
                <w:b/>
                <w:bCs/>
              </w:rPr>
              <w:t>Digital Assets</w:t>
            </w:r>
          </w:p>
        </w:tc>
      </w:tr>
      <w:tr w:rsidR="00AE7C1C" w:rsidRPr="00D82689" w14:paraId="78D522BB" w14:textId="77777777" w:rsidTr="00B14713">
        <w:trPr>
          <w:trHeight w:val="20"/>
        </w:trPr>
        <w:tc>
          <w:tcPr>
            <w:tcW w:w="860" w:type="dxa"/>
            <w:tcBorders>
              <w:top w:val="single" w:sz="4" w:space="0" w:color="000000"/>
              <w:left w:val="single" w:sz="4" w:space="0" w:color="000000"/>
              <w:bottom w:val="single" w:sz="4" w:space="0" w:color="000000"/>
            </w:tcBorders>
            <w:vAlign w:val="center"/>
          </w:tcPr>
          <w:p w14:paraId="1F98971C" w14:textId="26BBE9D1" w:rsidR="00AE7C1C" w:rsidRDefault="00AE7C1C" w:rsidP="001E1B04">
            <w:pPr>
              <w:jc w:val="center"/>
            </w:pPr>
            <w:r>
              <w:t>3.1</w:t>
            </w:r>
          </w:p>
        </w:tc>
        <w:tc>
          <w:tcPr>
            <w:tcW w:w="2968" w:type="dxa"/>
            <w:tcBorders>
              <w:top w:val="single" w:sz="4" w:space="0" w:color="000000"/>
              <w:left w:val="single" w:sz="4" w:space="0" w:color="000000"/>
              <w:bottom w:val="single" w:sz="4" w:space="0" w:color="000000"/>
            </w:tcBorders>
            <w:vAlign w:val="center"/>
          </w:tcPr>
          <w:p w14:paraId="3BE9CDE9" w14:textId="1573D4D7" w:rsidR="00AE7C1C" w:rsidRDefault="00E50259" w:rsidP="001E1B04">
            <w:r>
              <w:t>Custody Services</w:t>
            </w:r>
          </w:p>
        </w:tc>
        <w:tc>
          <w:tcPr>
            <w:tcW w:w="2551" w:type="dxa"/>
            <w:tcBorders>
              <w:top w:val="single" w:sz="4" w:space="0" w:color="000000"/>
              <w:left w:val="single" w:sz="4" w:space="0" w:color="000000"/>
              <w:bottom w:val="single" w:sz="4" w:space="0" w:color="000000"/>
            </w:tcBorders>
            <w:vAlign w:val="center"/>
          </w:tcPr>
          <w:p w14:paraId="138D3B17" w14:textId="3FA20945" w:rsidR="00AE7C1C" w:rsidRPr="00875C5F" w:rsidRDefault="00E50259" w:rsidP="001E1B04">
            <w:pPr>
              <w:jc w:val="center"/>
            </w:pPr>
            <w:r>
              <w:t>Free of charge</w:t>
            </w:r>
          </w:p>
        </w:tc>
        <w:tc>
          <w:tcPr>
            <w:tcW w:w="3260" w:type="dxa"/>
            <w:tcBorders>
              <w:top w:val="single" w:sz="4" w:space="0" w:color="000000"/>
              <w:left w:val="single" w:sz="4" w:space="0" w:color="000000"/>
              <w:bottom w:val="single" w:sz="4" w:space="0" w:color="000000"/>
              <w:right w:val="single" w:sz="4" w:space="0" w:color="000000"/>
            </w:tcBorders>
            <w:vAlign w:val="center"/>
          </w:tcPr>
          <w:p w14:paraId="2C2093DC" w14:textId="77777777" w:rsidR="00AE7C1C" w:rsidRPr="00D82689" w:rsidRDefault="00AE7C1C" w:rsidP="001E1B04"/>
        </w:tc>
      </w:tr>
    </w:tbl>
    <w:p w14:paraId="48B46737" w14:textId="77777777" w:rsidR="00584A73" w:rsidRPr="00D82689" w:rsidRDefault="00584A73" w:rsidP="00584A73">
      <w:pPr>
        <w:pStyle w:val="2"/>
      </w:pPr>
      <w:bookmarkStart w:id="43" w:name="_Toc1408685401"/>
      <w:r>
        <w:t>T</w:t>
      </w:r>
      <w:bookmarkEnd w:id="43"/>
      <w:r>
        <w:t>ech Services</w:t>
      </w:r>
    </w:p>
    <w:tbl>
      <w:tblPr>
        <w:tblW w:w="9639" w:type="dxa"/>
        <w:tblInd w:w="-5" w:type="dxa"/>
        <w:tblLayout w:type="fixed"/>
        <w:tblCellMar>
          <w:top w:w="57" w:type="dxa"/>
          <w:left w:w="57" w:type="dxa"/>
          <w:bottom w:w="57" w:type="dxa"/>
          <w:right w:w="57" w:type="dxa"/>
        </w:tblCellMar>
        <w:tblLook w:val="0000" w:firstRow="0" w:lastRow="0" w:firstColumn="0" w:lastColumn="0" w:noHBand="0" w:noVBand="0"/>
      </w:tblPr>
      <w:tblGrid>
        <w:gridCol w:w="593"/>
        <w:gridCol w:w="3341"/>
        <w:gridCol w:w="2020"/>
        <w:gridCol w:w="832"/>
        <w:gridCol w:w="2853"/>
      </w:tblGrid>
      <w:tr w:rsidR="00584A73" w:rsidRPr="00C022B9" w14:paraId="19EB30F3" w14:textId="77777777" w:rsidTr="00B14713">
        <w:trPr>
          <w:trHeight w:val="12"/>
        </w:trPr>
        <w:tc>
          <w:tcPr>
            <w:tcW w:w="593" w:type="dxa"/>
            <w:tcBorders>
              <w:top w:val="single" w:sz="4" w:space="0" w:color="000000"/>
              <w:left w:val="single" w:sz="4" w:space="0" w:color="000000"/>
              <w:bottom w:val="single" w:sz="4" w:space="0" w:color="000000"/>
            </w:tcBorders>
            <w:vAlign w:val="center"/>
          </w:tcPr>
          <w:p w14:paraId="4BE88B83" w14:textId="77777777" w:rsidR="00584A73" w:rsidRPr="00C022B9" w:rsidRDefault="00584A73" w:rsidP="00B14713">
            <w:pPr>
              <w:jc w:val="center"/>
              <w:rPr>
                <w:b/>
                <w:bCs/>
              </w:rPr>
            </w:pPr>
            <w:r>
              <w:rPr>
                <w:b/>
                <w:bCs/>
              </w:rPr>
              <w:t>No</w:t>
            </w:r>
          </w:p>
        </w:tc>
        <w:tc>
          <w:tcPr>
            <w:tcW w:w="3341" w:type="dxa"/>
            <w:tcBorders>
              <w:top w:val="single" w:sz="4" w:space="0" w:color="000000"/>
              <w:left w:val="single" w:sz="4" w:space="0" w:color="000000"/>
              <w:bottom w:val="single" w:sz="4" w:space="0" w:color="000000"/>
            </w:tcBorders>
            <w:vAlign w:val="center"/>
          </w:tcPr>
          <w:p w14:paraId="333CF4F6" w14:textId="77777777" w:rsidR="00584A73" w:rsidRPr="00C022B9" w:rsidRDefault="00584A73" w:rsidP="00B14713">
            <w:pPr>
              <w:jc w:val="center"/>
              <w:rPr>
                <w:b/>
                <w:bCs/>
              </w:rPr>
            </w:pPr>
            <w:r>
              <w:rPr>
                <w:b/>
                <w:bCs/>
              </w:rPr>
              <w:t>Type of services</w:t>
            </w:r>
          </w:p>
        </w:tc>
        <w:tc>
          <w:tcPr>
            <w:tcW w:w="2020" w:type="dxa"/>
            <w:tcBorders>
              <w:top w:val="single" w:sz="4" w:space="0" w:color="000000"/>
              <w:left w:val="single" w:sz="4" w:space="0" w:color="000000"/>
              <w:bottom w:val="single" w:sz="4" w:space="0" w:color="000000"/>
            </w:tcBorders>
            <w:vAlign w:val="center"/>
          </w:tcPr>
          <w:p w14:paraId="448E4913" w14:textId="77777777" w:rsidR="00584A73" w:rsidRPr="00C022B9" w:rsidRDefault="00584A73" w:rsidP="00B14713">
            <w:pPr>
              <w:jc w:val="center"/>
              <w:rPr>
                <w:b/>
                <w:bCs/>
              </w:rPr>
            </w:pPr>
            <w:r>
              <w:rPr>
                <w:b/>
                <w:bCs/>
              </w:rPr>
              <w:t>One-time charge</w:t>
            </w:r>
          </w:p>
        </w:tc>
        <w:tc>
          <w:tcPr>
            <w:tcW w:w="3685" w:type="dxa"/>
            <w:gridSpan w:val="2"/>
            <w:tcBorders>
              <w:top w:val="single" w:sz="4" w:space="0" w:color="000000"/>
              <w:left w:val="single" w:sz="4" w:space="0" w:color="000000"/>
              <w:bottom w:val="single" w:sz="4" w:space="0" w:color="000000"/>
              <w:right w:val="single" w:sz="4" w:space="0" w:color="000000"/>
            </w:tcBorders>
            <w:vAlign w:val="center"/>
          </w:tcPr>
          <w:p w14:paraId="2196313A" w14:textId="77777777" w:rsidR="00584A73" w:rsidRPr="00C022B9" w:rsidRDefault="00584A73" w:rsidP="00B14713">
            <w:pPr>
              <w:jc w:val="center"/>
              <w:rPr>
                <w:b/>
                <w:bCs/>
              </w:rPr>
            </w:pPr>
            <w:r>
              <w:rPr>
                <w:b/>
                <w:bCs/>
              </w:rPr>
              <w:t>Fees</w:t>
            </w:r>
          </w:p>
        </w:tc>
      </w:tr>
      <w:tr w:rsidR="00584A73" w:rsidRPr="00D82689" w14:paraId="4CC33AEA" w14:textId="77777777" w:rsidTr="00B14713">
        <w:trPr>
          <w:trHeight w:val="12"/>
        </w:trPr>
        <w:tc>
          <w:tcPr>
            <w:tcW w:w="593" w:type="dxa"/>
            <w:tcBorders>
              <w:top w:val="single" w:sz="4" w:space="0" w:color="000000"/>
              <w:left w:val="single" w:sz="4" w:space="0" w:color="000000"/>
              <w:bottom w:val="single" w:sz="4" w:space="0" w:color="000000"/>
            </w:tcBorders>
            <w:vAlign w:val="center"/>
          </w:tcPr>
          <w:p w14:paraId="6EC19A90" w14:textId="77777777" w:rsidR="00584A73" w:rsidRPr="00C022B9" w:rsidRDefault="00584A73" w:rsidP="00B14713">
            <w:pPr>
              <w:jc w:val="center"/>
            </w:pPr>
            <w:r>
              <w:t>1</w:t>
            </w:r>
          </w:p>
        </w:tc>
        <w:tc>
          <w:tcPr>
            <w:tcW w:w="3341" w:type="dxa"/>
            <w:tcBorders>
              <w:top w:val="single" w:sz="4" w:space="0" w:color="000000"/>
              <w:left w:val="single" w:sz="4" w:space="0" w:color="000000"/>
              <w:bottom w:val="single" w:sz="4" w:space="0" w:color="000000"/>
            </w:tcBorders>
            <w:vAlign w:val="center"/>
          </w:tcPr>
          <w:p w14:paraId="145380AC" w14:textId="77777777" w:rsidR="00584A73" w:rsidRPr="00D82689" w:rsidRDefault="00584A73" w:rsidP="00B14713">
            <w:r>
              <w:t>QUIK</w:t>
            </w:r>
          </w:p>
        </w:tc>
        <w:tc>
          <w:tcPr>
            <w:tcW w:w="5705" w:type="dxa"/>
            <w:gridSpan w:val="3"/>
            <w:tcBorders>
              <w:top w:val="single" w:sz="4" w:space="0" w:color="000000"/>
              <w:left w:val="single" w:sz="4" w:space="0" w:color="000000"/>
              <w:bottom w:val="single" w:sz="4" w:space="0" w:color="000000"/>
              <w:right w:val="single" w:sz="4" w:space="0" w:color="000000"/>
            </w:tcBorders>
            <w:vAlign w:val="center"/>
          </w:tcPr>
          <w:p w14:paraId="627C11C9" w14:textId="77777777" w:rsidR="00584A73" w:rsidRPr="00D82689" w:rsidRDefault="00584A73" w:rsidP="00B14713">
            <w:r>
              <w:t>Free of charge</w:t>
            </w:r>
          </w:p>
        </w:tc>
      </w:tr>
      <w:tr w:rsidR="00584A73" w:rsidRPr="00D82689" w14:paraId="5FEE21FE" w14:textId="77777777" w:rsidTr="00B14713">
        <w:trPr>
          <w:trHeight w:val="248"/>
        </w:trPr>
        <w:tc>
          <w:tcPr>
            <w:tcW w:w="593" w:type="dxa"/>
            <w:tcBorders>
              <w:top w:val="single" w:sz="4" w:space="0" w:color="000000"/>
              <w:left w:val="single" w:sz="4" w:space="0" w:color="000000"/>
              <w:bottom w:val="single" w:sz="4" w:space="0" w:color="000000"/>
            </w:tcBorders>
            <w:vAlign w:val="center"/>
          </w:tcPr>
          <w:p w14:paraId="78B7F640" w14:textId="77777777" w:rsidR="00584A73" w:rsidRPr="00C022B9" w:rsidRDefault="00584A73" w:rsidP="00B14713">
            <w:pPr>
              <w:jc w:val="center"/>
            </w:pPr>
            <w:r>
              <w:t>2</w:t>
            </w:r>
          </w:p>
        </w:tc>
        <w:tc>
          <w:tcPr>
            <w:tcW w:w="3341" w:type="dxa"/>
            <w:tcBorders>
              <w:top w:val="single" w:sz="4" w:space="0" w:color="000000"/>
              <w:left w:val="single" w:sz="4" w:space="0" w:color="000000"/>
              <w:bottom w:val="single" w:sz="4" w:space="0" w:color="000000"/>
            </w:tcBorders>
            <w:vAlign w:val="center"/>
          </w:tcPr>
          <w:p w14:paraId="446EEDE2" w14:textId="7A9C417E" w:rsidR="00584A73" w:rsidRPr="00D82689" w:rsidRDefault="00DB2F2D" w:rsidP="00B14713">
            <w:r>
              <w:t>Binance Trading Platform</w:t>
            </w:r>
          </w:p>
        </w:tc>
        <w:tc>
          <w:tcPr>
            <w:tcW w:w="5705" w:type="dxa"/>
            <w:gridSpan w:val="3"/>
            <w:tcBorders>
              <w:top w:val="single" w:sz="4" w:space="0" w:color="000000"/>
              <w:left w:val="single" w:sz="4" w:space="0" w:color="000000"/>
              <w:bottom w:val="single" w:sz="4" w:space="0" w:color="000000"/>
              <w:right w:val="single" w:sz="4" w:space="0" w:color="000000"/>
            </w:tcBorders>
            <w:vAlign w:val="center"/>
          </w:tcPr>
          <w:p w14:paraId="6EA8E1DF" w14:textId="62815746" w:rsidR="00584A73" w:rsidRPr="00DB2F2D" w:rsidRDefault="00DB2F2D" w:rsidP="00B14713">
            <w:r>
              <w:rPr>
                <w:lang w:val="ru-RU"/>
              </w:rPr>
              <w:t>F</w:t>
            </w:r>
            <w:r>
              <w:t>ree of charge</w:t>
            </w:r>
          </w:p>
        </w:tc>
      </w:tr>
      <w:tr w:rsidR="00584A73" w:rsidRPr="00D82689" w14:paraId="6CD5FBD8" w14:textId="77777777" w:rsidTr="00B14713">
        <w:trPr>
          <w:trHeight w:val="248"/>
        </w:trPr>
        <w:tc>
          <w:tcPr>
            <w:tcW w:w="593" w:type="dxa"/>
            <w:tcBorders>
              <w:top w:val="single" w:sz="4" w:space="0" w:color="000000"/>
              <w:left w:val="single" w:sz="4" w:space="0" w:color="000000"/>
              <w:bottom w:val="single" w:sz="4" w:space="0" w:color="000000"/>
              <w:right w:val="single" w:sz="4" w:space="0" w:color="000000"/>
            </w:tcBorders>
            <w:vAlign w:val="center"/>
          </w:tcPr>
          <w:p w14:paraId="4D9B0263" w14:textId="77777777" w:rsidR="00584A73" w:rsidRPr="00C022B9" w:rsidRDefault="00584A73" w:rsidP="00B14713">
            <w:pPr>
              <w:jc w:val="center"/>
            </w:pPr>
            <w:r>
              <w:t>3</w:t>
            </w:r>
          </w:p>
        </w:tc>
        <w:tc>
          <w:tcPr>
            <w:tcW w:w="9046" w:type="dxa"/>
            <w:gridSpan w:val="4"/>
            <w:tcBorders>
              <w:top w:val="single" w:sz="4" w:space="0" w:color="000000"/>
              <w:left w:val="single" w:sz="4" w:space="0" w:color="000000"/>
              <w:bottom w:val="single" w:sz="4" w:space="0" w:color="000000"/>
              <w:right w:val="single" w:sz="4" w:space="0" w:color="000000"/>
            </w:tcBorders>
            <w:vAlign w:val="center"/>
          </w:tcPr>
          <w:p w14:paraId="4EB76622" w14:textId="77777777" w:rsidR="00584A73" w:rsidRPr="00C022B9" w:rsidRDefault="00584A73" w:rsidP="00B14713">
            <w:pPr>
              <w:rPr>
                <w:b/>
                <w:bCs/>
              </w:rPr>
            </w:pPr>
            <w:r>
              <w:rPr>
                <w:b/>
                <w:bCs/>
              </w:rPr>
              <w:t>CQG</w:t>
            </w:r>
          </w:p>
        </w:tc>
      </w:tr>
      <w:tr w:rsidR="00584A73" w:rsidRPr="00D82689" w14:paraId="72C0F5CB" w14:textId="77777777" w:rsidTr="00B14713">
        <w:trPr>
          <w:trHeight w:val="248"/>
        </w:trPr>
        <w:tc>
          <w:tcPr>
            <w:tcW w:w="593" w:type="dxa"/>
            <w:tcBorders>
              <w:top w:val="single" w:sz="4" w:space="0" w:color="000000"/>
              <w:left w:val="single" w:sz="4" w:space="0" w:color="000000"/>
              <w:bottom w:val="single" w:sz="4" w:space="0" w:color="000000"/>
              <w:right w:val="single" w:sz="4" w:space="0" w:color="000000"/>
            </w:tcBorders>
            <w:vAlign w:val="center"/>
          </w:tcPr>
          <w:p w14:paraId="682B70F9" w14:textId="77777777" w:rsidR="00584A73" w:rsidRPr="00C022B9" w:rsidRDefault="00584A73" w:rsidP="00B14713">
            <w:pPr>
              <w:jc w:val="center"/>
            </w:pPr>
            <w:r>
              <w:lastRenderedPageBreak/>
              <w:t>3.1</w:t>
            </w:r>
          </w:p>
        </w:tc>
        <w:tc>
          <w:tcPr>
            <w:tcW w:w="3341" w:type="dxa"/>
            <w:tcBorders>
              <w:top w:val="single" w:sz="4" w:space="0" w:color="000000"/>
              <w:left w:val="single" w:sz="4" w:space="0" w:color="000000"/>
              <w:bottom w:val="single" w:sz="4" w:space="0" w:color="000000"/>
              <w:right w:val="single" w:sz="4" w:space="0" w:color="000000"/>
            </w:tcBorders>
            <w:vAlign w:val="center"/>
          </w:tcPr>
          <w:p w14:paraId="6599E2B0" w14:textId="77777777" w:rsidR="00584A73" w:rsidRPr="00D82689" w:rsidRDefault="00584A73" w:rsidP="00B14713">
            <w:r>
              <w:t>CQG Terminals</w:t>
            </w:r>
          </w:p>
        </w:tc>
        <w:tc>
          <w:tcPr>
            <w:tcW w:w="5705" w:type="dxa"/>
            <w:gridSpan w:val="3"/>
            <w:tcBorders>
              <w:top w:val="single" w:sz="4" w:space="0" w:color="000000"/>
              <w:left w:val="single" w:sz="4" w:space="0" w:color="000000"/>
              <w:bottom w:val="single" w:sz="4" w:space="0" w:color="000000"/>
              <w:right w:val="single" w:sz="4" w:space="0" w:color="000000"/>
            </w:tcBorders>
            <w:vAlign w:val="center"/>
          </w:tcPr>
          <w:p w14:paraId="5B9A58CC" w14:textId="77777777" w:rsidR="00584A73" w:rsidRPr="00D82689" w:rsidRDefault="00584A73" w:rsidP="00B14713">
            <w:r>
              <w:t xml:space="preserve">(CQG_Fees*1.2) per month, </w:t>
            </w:r>
          </w:p>
          <w:p w14:paraId="4B4D624D" w14:textId="77777777" w:rsidR="00584A73" w:rsidRPr="00D82689" w:rsidRDefault="00584A73" w:rsidP="00B14713">
            <w:r>
              <w:t xml:space="preserve">where: CQG_Fees – Fees set by CQG are available on the following link on the official website of CQG: </w:t>
            </w:r>
            <w:hyperlink r:id="rId11" w:history="1">
              <w:r>
                <w:rPr>
                  <w:rStyle w:val="ad"/>
                </w:rPr>
                <w:t>https://www.cqg.com/products/product-comparison</w:t>
              </w:r>
            </w:hyperlink>
            <w:r>
              <w:t xml:space="preserve"> </w:t>
            </w:r>
          </w:p>
        </w:tc>
      </w:tr>
      <w:tr w:rsidR="00584A73" w:rsidRPr="00D82689" w14:paraId="6435A89A" w14:textId="77777777" w:rsidTr="00B14713">
        <w:trPr>
          <w:trHeight w:val="248"/>
        </w:trPr>
        <w:tc>
          <w:tcPr>
            <w:tcW w:w="593" w:type="dxa"/>
            <w:tcBorders>
              <w:top w:val="single" w:sz="4" w:space="0" w:color="000000"/>
              <w:left w:val="single" w:sz="4" w:space="0" w:color="000000"/>
              <w:bottom w:val="single" w:sz="4" w:space="0" w:color="000000"/>
              <w:right w:val="single" w:sz="4" w:space="0" w:color="000000"/>
            </w:tcBorders>
            <w:vAlign w:val="center"/>
          </w:tcPr>
          <w:p w14:paraId="6FA25412" w14:textId="77777777" w:rsidR="00584A73" w:rsidRPr="00C022B9" w:rsidRDefault="00584A73" w:rsidP="00B14713">
            <w:pPr>
              <w:jc w:val="center"/>
            </w:pPr>
            <w:r>
              <w:t>3.2</w:t>
            </w:r>
          </w:p>
        </w:tc>
        <w:tc>
          <w:tcPr>
            <w:tcW w:w="3341" w:type="dxa"/>
            <w:tcBorders>
              <w:top w:val="single" w:sz="4" w:space="0" w:color="000000"/>
              <w:left w:val="single" w:sz="4" w:space="0" w:color="000000"/>
              <w:bottom w:val="single" w:sz="4" w:space="0" w:color="000000"/>
              <w:right w:val="single" w:sz="4" w:space="0" w:color="000000"/>
            </w:tcBorders>
            <w:vAlign w:val="center"/>
          </w:tcPr>
          <w:p w14:paraId="418022F6" w14:textId="77777777" w:rsidR="00584A73" w:rsidRPr="00D82689" w:rsidRDefault="00584A73" w:rsidP="00B14713">
            <w:r>
              <w:t>Enterprise CQG APIs</w:t>
            </w:r>
          </w:p>
        </w:tc>
        <w:tc>
          <w:tcPr>
            <w:tcW w:w="2020" w:type="dxa"/>
            <w:tcBorders>
              <w:top w:val="single" w:sz="4" w:space="0" w:color="000000"/>
              <w:left w:val="single" w:sz="4" w:space="0" w:color="000000"/>
              <w:bottom w:val="single" w:sz="4" w:space="0" w:color="000000"/>
              <w:right w:val="single" w:sz="4" w:space="0" w:color="000000"/>
            </w:tcBorders>
            <w:vAlign w:val="center"/>
          </w:tcPr>
          <w:p w14:paraId="6BCA0AE9" w14:textId="77777777" w:rsidR="00584A73" w:rsidRPr="00D82689" w:rsidRDefault="00584A73" w:rsidP="00B14713">
            <w:r>
              <w:t>600 USD</w:t>
            </w:r>
          </w:p>
        </w:tc>
        <w:tc>
          <w:tcPr>
            <w:tcW w:w="3685" w:type="dxa"/>
            <w:gridSpan w:val="2"/>
            <w:tcBorders>
              <w:top w:val="single" w:sz="4" w:space="0" w:color="000000"/>
              <w:left w:val="single" w:sz="4" w:space="0" w:color="000000"/>
              <w:bottom w:val="single" w:sz="4" w:space="0" w:color="000000"/>
              <w:right w:val="single" w:sz="4" w:space="0" w:color="000000"/>
            </w:tcBorders>
            <w:vAlign w:val="center"/>
          </w:tcPr>
          <w:p w14:paraId="41117ACA" w14:textId="77777777" w:rsidR="00584A73" w:rsidRPr="00D82689" w:rsidRDefault="00584A73" w:rsidP="00B14713">
            <w:r>
              <w:t>600 USD+</w:t>
            </w:r>
          </w:p>
          <w:p w14:paraId="56A071AC" w14:textId="77777777" w:rsidR="00584A73" w:rsidRPr="00D82689" w:rsidRDefault="00584A73" w:rsidP="00B14713">
            <w:r>
              <w:t>Each contract by Enterprise CQG APIs USD 0.12</w:t>
            </w:r>
          </w:p>
        </w:tc>
      </w:tr>
      <w:tr w:rsidR="00584A73" w:rsidRPr="00D82689" w14:paraId="1E98C79D" w14:textId="77777777" w:rsidTr="005509BA">
        <w:trPr>
          <w:trHeight w:val="248"/>
        </w:trPr>
        <w:tc>
          <w:tcPr>
            <w:tcW w:w="593" w:type="dxa"/>
            <w:tcBorders>
              <w:top w:val="single" w:sz="4" w:space="0" w:color="000000"/>
              <w:left w:val="single" w:sz="4" w:space="0" w:color="000000"/>
              <w:bottom w:val="single" w:sz="4" w:space="0" w:color="000000"/>
              <w:right w:val="single" w:sz="4" w:space="0" w:color="000000"/>
            </w:tcBorders>
            <w:vAlign w:val="center"/>
          </w:tcPr>
          <w:p w14:paraId="799202F8" w14:textId="77777777" w:rsidR="00584A73" w:rsidRPr="00C022B9" w:rsidRDefault="00584A73" w:rsidP="00B14713">
            <w:pPr>
              <w:jc w:val="center"/>
            </w:pPr>
            <w:r>
              <w:t>3.3</w:t>
            </w:r>
          </w:p>
        </w:tc>
        <w:tc>
          <w:tcPr>
            <w:tcW w:w="3341" w:type="dxa"/>
            <w:tcBorders>
              <w:top w:val="single" w:sz="4" w:space="0" w:color="000000"/>
              <w:left w:val="single" w:sz="4" w:space="0" w:color="000000"/>
              <w:bottom w:val="single" w:sz="4" w:space="0" w:color="000000"/>
              <w:right w:val="single" w:sz="4" w:space="0" w:color="000000"/>
            </w:tcBorders>
            <w:vAlign w:val="center"/>
          </w:tcPr>
          <w:p w14:paraId="7188DAED" w14:textId="77777777" w:rsidR="00584A73" w:rsidRPr="00242F4F" w:rsidRDefault="00584A73" w:rsidP="00B14713">
            <w:r>
              <w:t>Market data service rendered through the CQG Global Agreement</w:t>
            </w:r>
            <w:r>
              <w:rPr>
                <w:rStyle w:val="af5"/>
              </w:rPr>
              <w:endnoteReference w:id="5"/>
            </w:r>
          </w:p>
        </w:tc>
        <w:tc>
          <w:tcPr>
            <w:tcW w:w="5705" w:type="dxa"/>
            <w:gridSpan w:val="3"/>
            <w:tcBorders>
              <w:top w:val="single" w:sz="4" w:space="0" w:color="000000"/>
              <w:left w:val="single" w:sz="4" w:space="0" w:color="000000"/>
              <w:bottom w:val="single" w:sz="4" w:space="0" w:color="auto"/>
              <w:right w:val="single" w:sz="4" w:space="0" w:color="000000"/>
            </w:tcBorders>
            <w:vAlign w:val="center"/>
          </w:tcPr>
          <w:p w14:paraId="2A43B973" w14:textId="77777777" w:rsidR="00584A73" w:rsidRPr="00D82689" w:rsidRDefault="00584A73" w:rsidP="00B14713">
            <w:r>
              <w:t xml:space="preserve">(MD*1.2) per month, </w:t>
            </w:r>
          </w:p>
          <w:p w14:paraId="032E344B" w14:textId="77777777" w:rsidR="00584A73" w:rsidRPr="00D82689" w:rsidRDefault="00584A73" w:rsidP="00B14713">
            <w:r>
              <w:t xml:space="preserve">where: MD-Market Data Fees set by CQG are available on the following link of the official website of CQG: </w:t>
            </w:r>
            <w:hyperlink r:id="rId12" w:history="1">
              <w:r>
                <w:rPr>
                  <w:rStyle w:val="ad"/>
                </w:rPr>
                <w:t>https://www.cqg.com/partners/exchanges/monthly-fees</w:t>
              </w:r>
            </w:hyperlink>
            <w:r>
              <w:t xml:space="preserve"> </w:t>
            </w:r>
          </w:p>
        </w:tc>
      </w:tr>
      <w:tr w:rsidR="005509BA" w:rsidRPr="00D82689" w14:paraId="726B31E5" w14:textId="77777777" w:rsidTr="005509BA">
        <w:trPr>
          <w:trHeight w:val="248"/>
        </w:trPr>
        <w:tc>
          <w:tcPr>
            <w:tcW w:w="593" w:type="dxa"/>
            <w:tcBorders>
              <w:top w:val="single" w:sz="4" w:space="0" w:color="000000"/>
              <w:left w:val="single" w:sz="4" w:space="0" w:color="000000"/>
              <w:bottom w:val="single" w:sz="4" w:space="0" w:color="000000"/>
              <w:right w:val="single" w:sz="4" w:space="0" w:color="000000"/>
            </w:tcBorders>
            <w:vAlign w:val="center"/>
          </w:tcPr>
          <w:p w14:paraId="662E8583" w14:textId="77777777" w:rsidR="005509BA" w:rsidRPr="00C022B9" w:rsidRDefault="005509BA" w:rsidP="00B14713">
            <w:pPr>
              <w:jc w:val="center"/>
            </w:pPr>
            <w:r>
              <w:t>4</w:t>
            </w:r>
          </w:p>
        </w:tc>
        <w:tc>
          <w:tcPr>
            <w:tcW w:w="3341" w:type="dxa"/>
            <w:tcBorders>
              <w:top w:val="single" w:sz="4" w:space="0" w:color="000000"/>
              <w:left w:val="single" w:sz="4" w:space="0" w:color="000000"/>
              <w:bottom w:val="single" w:sz="4" w:space="0" w:color="000000"/>
              <w:right w:val="single" w:sz="4" w:space="0" w:color="auto"/>
            </w:tcBorders>
            <w:vAlign w:val="center"/>
          </w:tcPr>
          <w:p w14:paraId="21C4DB44" w14:textId="77777777" w:rsidR="005509BA" w:rsidRPr="00D82689" w:rsidRDefault="005509BA" w:rsidP="00B14713">
            <w:r>
              <w:t>NetInvestor</w:t>
            </w:r>
          </w:p>
        </w:tc>
        <w:tc>
          <w:tcPr>
            <w:tcW w:w="2852" w:type="dxa"/>
            <w:gridSpan w:val="2"/>
            <w:tcBorders>
              <w:top w:val="single" w:sz="4" w:space="0" w:color="auto"/>
              <w:left w:val="single" w:sz="4" w:space="0" w:color="auto"/>
              <w:bottom w:val="single" w:sz="4" w:space="0" w:color="auto"/>
              <w:right w:val="single" w:sz="4" w:space="0" w:color="auto"/>
            </w:tcBorders>
            <w:vAlign w:val="center"/>
          </w:tcPr>
          <w:p w14:paraId="181C9007" w14:textId="77777777" w:rsidR="005509BA" w:rsidRPr="00254289" w:rsidRDefault="00597794" w:rsidP="00B14713">
            <w:r>
              <w:t>Free of charge</w:t>
            </w:r>
          </w:p>
        </w:tc>
        <w:tc>
          <w:tcPr>
            <w:tcW w:w="2853" w:type="dxa"/>
            <w:tcBorders>
              <w:top w:val="single" w:sz="4" w:space="0" w:color="auto"/>
              <w:left w:val="single" w:sz="4" w:space="0" w:color="auto"/>
              <w:bottom w:val="single" w:sz="4" w:space="0" w:color="auto"/>
              <w:right w:val="single" w:sz="4" w:space="0" w:color="auto"/>
            </w:tcBorders>
            <w:vAlign w:val="center"/>
          </w:tcPr>
          <w:p w14:paraId="1ACE2B98" w14:textId="77777777" w:rsidR="005509BA" w:rsidRPr="00597794" w:rsidRDefault="00597794" w:rsidP="00B14713">
            <w:r>
              <w:t xml:space="preserve">45 160 </w:t>
            </w:r>
            <w:r>
              <w:rPr>
                <w:lang w:val="ru-RU"/>
              </w:rPr>
              <w:t>KZT</w:t>
            </w:r>
          </w:p>
        </w:tc>
      </w:tr>
      <w:tr w:rsidR="005509BA" w:rsidRPr="00D82689" w14:paraId="6D59DD70" w14:textId="77777777" w:rsidTr="00B52395">
        <w:trPr>
          <w:trHeight w:val="248"/>
        </w:trPr>
        <w:tc>
          <w:tcPr>
            <w:tcW w:w="593" w:type="dxa"/>
            <w:tcBorders>
              <w:top w:val="single" w:sz="4" w:space="0" w:color="000000"/>
              <w:left w:val="single" w:sz="4" w:space="0" w:color="000000"/>
              <w:bottom w:val="single" w:sz="4" w:space="0" w:color="000000"/>
              <w:right w:val="single" w:sz="4" w:space="0" w:color="000000"/>
            </w:tcBorders>
            <w:vAlign w:val="center"/>
          </w:tcPr>
          <w:p w14:paraId="15660991" w14:textId="77777777" w:rsidR="005509BA" w:rsidRPr="00C022B9" w:rsidRDefault="005509BA" w:rsidP="00B14713">
            <w:pPr>
              <w:jc w:val="center"/>
            </w:pPr>
            <w:r>
              <w:t>5</w:t>
            </w:r>
          </w:p>
        </w:tc>
        <w:tc>
          <w:tcPr>
            <w:tcW w:w="9046" w:type="dxa"/>
            <w:gridSpan w:val="4"/>
            <w:tcBorders>
              <w:top w:val="single" w:sz="4" w:space="0" w:color="000000"/>
              <w:left w:val="single" w:sz="4" w:space="0" w:color="000000"/>
              <w:bottom w:val="single" w:sz="4" w:space="0" w:color="000000"/>
              <w:right w:val="single" w:sz="4" w:space="0" w:color="auto"/>
            </w:tcBorders>
            <w:vAlign w:val="center"/>
          </w:tcPr>
          <w:p w14:paraId="0689BE65" w14:textId="77777777" w:rsidR="005509BA" w:rsidRPr="00D82689" w:rsidRDefault="005509BA" w:rsidP="00B14713">
            <w:r>
              <w:t>ITS Tech logins for connection to gateways using binary and FIX/FAST protocols:</w:t>
            </w:r>
          </w:p>
        </w:tc>
      </w:tr>
      <w:tr w:rsidR="005509BA" w:rsidRPr="00D82689" w14:paraId="798D1E6C" w14:textId="77777777" w:rsidTr="005509BA">
        <w:trPr>
          <w:trHeight w:val="248"/>
        </w:trPr>
        <w:tc>
          <w:tcPr>
            <w:tcW w:w="593" w:type="dxa"/>
            <w:tcBorders>
              <w:top w:val="single" w:sz="4" w:space="0" w:color="000000"/>
              <w:left w:val="single" w:sz="4" w:space="0" w:color="000000"/>
              <w:bottom w:val="single" w:sz="4" w:space="0" w:color="000000"/>
              <w:right w:val="single" w:sz="4" w:space="0" w:color="000000"/>
            </w:tcBorders>
            <w:vAlign w:val="center"/>
          </w:tcPr>
          <w:p w14:paraId="2B910D19" w14:textId="77777777" w:rsidR="005509BA" w:rsidRPr="005509BA" w:rsidRDefault="005509BA" w:rsidP="00B14713">
            <w:pPr>
              <w:jc w:val="center"/>
              <w:rPr>
                <w:lang w:val="ru-RU"/>
              </w:rPr>
            </w:pPr>
            <w:r>
              <w:rPr>
                <w:lang w:val="ru-RU"/>
              </w:rPr>
              <w:t>5.1</w:t>
            </w:r>
          </w:p>
        </w:tc>
        <w:tc>
          <w:tcPr>
            <w:tcW w:w="3341" w:type="dxa"/>
            <w:tcBorders>
              <w:top w:val="single" w:sz="4" w:space="0" w:color="000000"/>
              <w:left w:val="single" w:sz="4" w:space="0" w:color="000000"/>
              <w:bottom w:val="single" w:sz="4" w:space="0" w:color="000000"/>
              <w:right w:val="single" w:sz="4" w:space="0" w:color="auto"/>
            </w:tcBorders>
            <w:vAlign w:val="center"/>
          </w:tcPr>
          <w:p w14:paraId="76B031D9" w14:textId="77777777" w:rsidR="005509BA" w:rsidRDefault="0061587B" w:rsidP="00B14713">
            <w:r>
              <w:t>Trading member level Broker Login type «W»</w:t>
            </w:r>
          </w:p>
        </w:tc>
        <w:tc>
          <w:tcPr>
            <w:tcW w:w="2852" w:type="dxa"/>
            <w:gridSpan w:val="2"/>
            <w:tcBorders>
              <w:top w:val="single" w:sz="4" w:space="0" w:color="auto"/>
              <w:left w:val="single" w:sz="4" w:space="0" w:color="auto"/>
              <w:bottom w:val="single" w:sz="4" w:space="0" w:color="auto"/>
              <w:right w:val="single" w:sz="4" w:space="0" w:color="auto"/>
            </w:tcBorders>
            <w:vAlign w:val="center"/>
          </w:tcPr>
          <w:p w14:paraId="607553C2" w14:textId="77777777" w:rsidR="005509BA" w:rsidRPr="005509BA" w:rsidRDefault="005509BA" w:rsidP="00B14713">
            <w:r>
              <w:t>Free of charge</w:t>
            </w:r>
          </w:p>
        </w:tc>
        <w:tc>
          <w:tcPr>
            <w:tcW w:w="2853" w:type="dxa"/>
            <w:tcBorders>
              <w:top w:val="single" w:sz="4" w:space="0" w:color="auto"/>
              <w:left w:val="single" w:sz="4" w:space="0" w:color="auto"/>
              <w:bottom w:val="single" w:sz="4" w:space="0" w:color="auto"/>
              <w:right w:val="single" w:sz="4" w:space="0" w:color="auto"/>
            </w:tcBorders>
            <w:vAlign w:val="center"/>
          </w:tcPr>
          <w:p w14:paraId="101B11F8" w14:textId="77777777" w:rsidR="005509BA" w:rsidRPr="00D82689" w:rsidRDefault="002A3782" w:rsidP="00B14713">
            <w:r>
              <w:t>7.84 USD</w:t>
            </w:r>
          </w:p>
        </w:tc>
      </w:tr>
      <w:tr w:rsidR="0061587B" w:rsidRPr="00D82689" w14:paraId="2F158894" w14:textId="77777777" w:rsidTr="005509BA">
        <w:trPr>
          <w:trHeight w:val="248"/>
        </w:trPr>
        <w:tc>
          <w:tcPr>
            <w:tcW w:w="593" w:type="dxa"/>
            <w:tcBorders>
              <w:top w:val="single" w:sz="4" w:space="0" w:color="000000"/>
              <w:left w:val="single" w:sz="4" w:space="0" w:color="000000"/>
              <w:bottom w:val="single" w:sz="4" w:space="0" w:color="000000"/>
              <w:right w:val="single" w:sz="4" w:space="0" w:color="000000"/>
            </w:tcBorders>
            <w:vAlign w:val="center"/>
          </w:tcPr>
          <w:p w14:paraId="35D51271" w14:textId="77777777" w:rsidR="0061587B" w:rsidRDefault="0061587B" w:rsidP="00B14713">
            <w:pPr>
              <w:jc w:val="center"/>
              <w:rPr>
                <w:lang w:val="ru-RU"/>
              </w:rPr>
            </w:pPr>
            <w:r>
              <w:rPr>
                <w:lang w:val="ru-RU"/>
              </w:rPr>
              <w:t>5.2</w:t>
            </w:r>
          </w:p>
        </w:tc>
        <w:tc>
          <w:tcPr>
            <w:tcW w:w="3341" w:type="dxa"/>
            <w:tcBorders>
              <w:top w:val="single" w:sz="4" w:space="0" w:color="000000"/>
              <w:left w:val="single" w:sz="4" w:space="0" w:color="000000"/>
              <w:bottom w:val="single" w:sz="4" w:space="0" w:color="000000"/>
              <w:right w:val="single" w:sz="4" w:space="0" w:color="auto"/>
            </w:tcBorders>
            <w:vAlign w:val="center"/>
          </w:tcPr>
          <w:p w14:paraId="4A31409B" w14:textId="77777777" w:rsidR="0061587B" w:rsidRDefault="0061587B" w:rsidP="00B14713">
            <w:r>
              <w:t>Login of a Trading Member client level type «W»</w:t>
            </w:r>
          </w:p>
        </w:tc>
        <w:tc>
          <w:tcPr>
            <w:tcW w:w="2852" w:type="dxa"/>
            <w:gridSpan w:val="2"/>
            <w:tcBorders>
              <w:top w:val="single" w:sz="4" w:space="0" w:color="auto"/>
              <w:left w:val="single" w:sz="4" w:space="0" w:color="auto"/>
              <w:bottom w:val="single" w:sz="4" w:space="0" w:color="auto"/>
              <w:right w:val="single" w:sz="4" w:space="0" w:color="auto"/>
            </w:tcBorders>
            <w:vAlign w:val="center"/>
          </w:tcPr>
          <w:p w14:paraId="5E88660E" w14:textId="77777777" w:rsidR="0061587B" w:rsidRPr="00D82689" w:rsidRDefault="0061587B" w:rsidP="00B14713">
            <w:r>
              <w:t>Free of charge</w:t>
            </w:r>
          </w:p>
        </w:tc>
        <w:tc>
          <w:tcPr>
            <w:tcW w:w="2853" w:type="dxa"/>
            <w:tcBorders>
              <w:top w:val="single" w:sz="4" w:space="0" w:color="auto"/>
              <w:left w:val="single" w:sz="4" w:space="0" w:color="auto"/>
              <w:bottom w:val="single" w:sz="4" w:space="0" w:color="auto"/>
              <w:right w:val="single" w:sz="4" w:space="0" w:color="auto"/>
            </w:tcBorders>
            <w:vAlign w:val="center"/>
          </w:tcPr>
          <w:p w14:paraId="31C00892" w14:textId="77777777" w:rsidR="0061587B" w:rsidRDefault="0061587B" w:rsidP="00B14713">
            <w:r>
              <w:t>7.84 USD</w:t>
            </w:r>
          </w:p>
        </w:tc>
      </w:tr>
      <w:tr w:rsidR="0061587B" w:rsidRPr="00D82689" w14:paraId="69BC1F17" w14:textId="77777777" w:rsidTr="005509BA">
        <w:trPr>
          <w:trHeight w:val="248"/>
        </w:trPr>
        <w:tc>
          <w:tcPr>
            <w:tcW w:w="593" w:type="dxa"/>
            <w:tcBorders>
              <w:top w:val="single" w:sz="4" w:space="0" w:color="000000"/>
              <w:left w:val="single" w:sz="4" w:space="0" w:color="000000"/>
              <w:bottom w:val="single" w:sz="4" w:space="0" w:color="000000"/>
              <w:right w:val="single" w:sz="4" w:space="0" w:color="000000"/>
            </w:tcBorders>
            <w:vAlign w:val="center"/>
          </w:tcPr>
          <w:p w14:paraId="682570CD" w14:textId="77777777" w:rsidR="0061587B" w:rsidRDefault="0061587B" w:rsidP="00B14713">
            <w:pPr>
              <w:jc w:val="center"/>
              <w:rPr>
                <w:lang w:val="ru-RU"/>
              </w:rPr>
            </w:pPr>
            <w:r>
              <w:rPr>
                <w:lang w:val="ru-RU"/>
              </w:rPr>
              <w:t>5.3</w:t>
            </w:r>
          </w:p>
        </w:tc>
        <w:tc>
          <w:tcPr>
            <w:tcW w:w="3341" w:type="dxa"/>
            <w:tcBorders>
              <w:top w:val="single" w:sz="4" w:space="0" w:color="000000"/>
              <w:left w:val="single" w:sz="4" w:space="0" w:color="000000"/>
              <w:bottom w:val="single" w:sz="4" w:space="0" w:color="000000"/>
              <w:right w:val="single" w:sz="4" w:space="0" w:color="auto"/>
            </w:tcBorders>
            <w:vAlign w:val="center"/>
          </w:tcPr>
          <w:p w14:paraId="7F655CE8" w14:textId="77777777" w:rsidR="0061587B" w:rsidRDefault="0061587B" w:rsidP="00B14713">
            <w:r>
              <w:t>Category A trading member level Broker Login type «W»</w:t>
            </w:r>
          </w:p>
        </w:tc>
        <w:tc>
          <w:tcPr>
            <w:tcW w:w="2852" w:type="dxa"/>
            <w:gridSpan w:val="2"/>
            <w:tcBorders>
              <w:top w:val="single" w:sz="4" w:space="0" w:color="auto"/>
              <w:left w:val="single" w:sz="4" w:space="0" w:color="auto"/>
              <w:bottom w:val="single" w:sz="4" w:space="0" w:color="auto"/>
              <w:right w:val="single" w:sz="4" w:space="0" w:color="auto"/>
            </w:tcBorders>
            <w:vAlign w:val="center"/>
          </w:tcPr>
          <w:p w14:paraId="6EAA3AD2" w14:textId="77777777" w:rsidR="0061587B" w:rsidRPr="00D82689" w:rsidRDefault="0061587B" w:rsidP="00B14713">
            <w:r>
              <w:t>Free of charge</w:t>
            </w:r>
          </w:p>
        </w:tc>
        <w:tc>
          <w:tcPr>
            <w:tcW w:w="2853" w:type="dxa"/>
            <w:tcBorders>
              <w:top w:val="single" w:sz="4" w:space="0" w:color="auto"/>
              <w:left w:val="single" w:sz="4" w:space="0" w:color="auto"/>
              <w:bottom w:val="single" w:sz="4" w:space="0" w:color="auto"/>
              <w:right w:val="single" w:sz="4" w:space="0" w:color="auto"/>
            </w:tcBorders>
            <w:vAlign w:val="center"/>
          </w:tcPr>
          <w:p w14:paraId="139F84F3" w14:textId="77777777" w:rsidR="0061587B" w:rsidRPr="0061587B" w:rsidRDefault="0061587B" w:rsidP="00B14713">
            <w:r>
              <w:rPr>
                <w:lang w:val="ru-RU"/>
              </w:rPr>
              <w:t>30.24 USD</w:t>
            </w:r>
          </w:p>
        </w:tc>
      </w:tr>
      <w:tr w:rsidR="0061587B" w:rsidRPr="00D82689" w14:paraId="35110FEB" w14:textId="77777777" w:rsidTr="005509BA">
        <w:trPr>
          <w:trHeight w:val="248"/>
        </w:trPr>
        <w:tc>
          <w:tcPr>
            <w:tcW w:w="593" w:type="dxa"/>
            <w:tcBorders>
              <w:top w:val="single" w:sz="4" w:space="0" w:color="000000"/>
              <w:left w:val="single" w:sz="4" w:space="0" w:color="000000"/>
              <w:bottom w:val="single" w:sz="4" w:space="0" w:color="000000"/>
              <w:right w:val="single" w:sz="4" w:space="0" w:color="000000"/>
            </w:tcBorders>
            <w:vAlign w:val="center"/>
          </w:tcPr>
          <w:p w14:paraId="710193C3" w14:textId="77777777" w:rsidR="0061587B" w:rsidRPr="0061587B" w:rsidRDefault="0061587B" w:rsidP="00B14713">
            <w:pPr>
              <w:jc w:val="center"/>
            </w:pPr>
            <w:r>
              <w:t>5.4</w:t>
            </w:r>
          </w:p>
        </w:tc>
        <w:tc>
          <w:tcPr>
            <w:tcW w:w="3341" w:type="dxa"/>
            <w:tcBorders>
              <w:top w:val="single" w:sz="4" w:space="0" w:color="000000"/>
              <w:left w:val="single" w:sz="4" w:space="0" w:color="000000"/>
              <w:bottom w:val="single" w:sz="4" w:space="0" w:color="000000"/>
              <w:right w:val="single" w:sz="4" w:space="0" w:color="auto"/>
            </w:tcBorders>
            <w:vAlign w:val="center"/>
          </w:tcPr>
          <w:p w14:paraId="648E9AF2" w14:textId="77777777" w:rsidR="0061587B" w:rsidRDefault="0061587B" w:rsidP="00B14713">
            <w:r>
              <w:t>Market maker login type «T»</w:t>
            </w:r>
          </w:p>
        </w:tc>
        <w:tc>
          <w:tcPr>
            <w:tcW w:w="2852" w:type="dxa"/>
            <w:gridSpan w:val="2"/>
            <w:tcBorders>
              <w:top w:val="single" w:sz="4" w:space="0" w:color="auto"/>
              <w:left w:val="single" w:sz="4" w:space="0" w:color="auto"/>
              <w:bottom w:val="single" w:sz="4" w:space="0" w:color="auto"/>
              <w:right w:val="single" w:sz="4" w:space="0" w:color="auto"/>
            </w:tcBorders>
            <w:vAlign w:val="center"/>
          </w:tcPr>
          <w:p w14:paraId="4DDB2089" w14:textId="77777777" w:rsidR="0061587B" w:rsidRPr="00D82689" w:rsidRDefault="0061587B" w:rsidP="00B14713">
            <w:r>
              <w:t>Free of charge</w:t>
            </w:r>
          </w:p>
        </w:tc>
        <w:tc>
          <w:tcPr>
            <w:tcW w:w="2853" w:type="dxa"/>
            <w:tcBorders>
              <w:top w:val="single" w:sz="4" w:space="0" w:color="auto"/>
              <w:left w:val="single" w:sz="4" w:space="0" w:color="auto"/>
              <w:bottom w:val="single" w:sz="4" w:space="0" w:color="auto"/>
              <w:right w:val="single" w:sz="4" w:space="0" w:color="auto"/>
            </w:tcBorders>
            <w:vAlign w:val="center"/>
          </w:tcPr>
          <w:p w14:paraId="6A7C13D0" w14:textId="77777777" w:rsidR="0061587B" w:rsidRDefault="0061587B" w:rsidP="00B14713">
            <w:r>
              <w:t>7.84 USD</w:t>
            </w:r>
          </w:p>
        </w:tc>
      </w:tr>
      <w:tr w:rsidR="005509BA" w:rsidRPr="00D82689" w14:paraId="4DFC5603" w14:textId="77777777" w:rsidTr="005509BA">
        <w:trPr>
          <w:trHeight w:val="248"/>
        </w:trPr>
        <w:tc>
          <w:tcPr>
            <w:tcW w:w="593" w:type="dxa"/>
            <w:tcBorders>
              <w:top w:val="single" w:sz="4" w:space="0" w:color="000000"/>
              <w:left w:val="single" w:sz="4" w:space="0" w:color="000000"/>
              <w:bottom w:val="single" w:sz="4" w:space="0" w:color="000000"/>
              <w:right w:val="single" w:sz="4" w:space="0" w:color="000000"/>
            </w:tcBorders>
            <w:vAlign w:val="center"/>
          </w:tcPr>
          <w:p w14:paraId="6A9C7FC9" w14:textId="77777777" w:rsidR="005509BA" w:rsidRDefault="002A3782" w:rsidP="00B14713">
            <w:pPr>
              <w:jc w:val="center"/>
            </w:pPr>
            <w:r>
              <w:t>5.5</w:t>
            </w:r>
          </w:p>
        </w:tc>
        <w:tc>
          <w:tcPr>
            <w:tcW w:w="3341" w:type="dxa"/>
            <w:tcBorders>
              <w:top w:val="single" w:sz="4" w:space="0" w:color="000000"/>
              <w:left w:val="single" w:sz="4" w:space="0" w:color="000000"/>
              <w:bottom w:val="single" w:sz="4" w:space="0" w:color="000000"/>
              <w:right w:val="single" w:sz="4" w:space="0" w:color="auto"/>
            </w:tcBorders>
            <w:vAlign w:val="center"/>
          </w:tcPr>
          <w:p w14:paraId="10DF44EC" w14:textId="77777777" w:rsidR="005509BA" w:rsidRDefault="0061587B" w:rsidP="00B14713">
            <w:r>
              <w:t>Market maker login type 2</w:t>
            </w:r>
          </w:p>
        </w:tc>
        <w:tc>
          <w:tcPr>
            <w:tcW w:w="2852" w:type="dxa"/>
            <w:gridSpan w:val="2"/>
            <w:tcBorders>
              <w:top w:val="single" w:sz="4" w:space="0" w:color="auto"/>
              <w:left w:val="single" w:sz="4" w:space="0" w:color="auto"/>
              <w:bottom w:val="single" w:sz="4" w:space="0" w:color="auto"/>
              <w:right w:val="single" w:sz="4" w:space="0" w:color="auto"/>
            </w:tcBorders>
            <w:vAlign w:val="center"/>
          </w:tcPr>
          <w:p w14:paraId="6063D1B9" w14:textId="77777777" w:rsidR="005509BA" w:rsidRPr="00D82689" w:rsidRDefault="002A3782" w:rsidP="00B14713">
            <w:r>
              <w:t>Free of charge</w:t>
            </w:r>
          </w:p>
        </w:tc>
        <w:tc>
          <w:tcPr>
            <w:tcW w:w="2853" w:type="dxa"/>
            <w:tcBorders>
              <w:top w:val="single" w:sz="4" w:space="0" w:color="auto"/>
              <w:left w:val="single" w:sz="4" w:space="0" w:color="auto"/>
              <w:bottom w:val="single" w:sz="4" w:space="0" w:color="auto"/>
              <w:right w:val="single" w:sz="4" w:space="0" w:color="auto"/>
            </w:tcBorders>
            <w:vAlign w:val="center"/>
          </w:tcPr>
          <w:p w14:paraId="707184B0" w14:textId="77777777" w:rsidR="005509BA" w:rsidRPr="00D82689" w:rsidRDefault="0061587B" w:rsidP="00B14713">
            <w:r>
              <w:rPr>
                <w:lang w:val="ru-RU"/>
              </w:rPr>
              <w:t>30.24 USD</w:t>
            </w:r>
          </w:p>
        </w:tc>
      </w:tr>
      <w:tr w:rsidR="005509BA" w:rsidRPr="00D82689" w14:paraId="4434D2FE" w14:textId="77777777" w:rsidTr="005509BA">
        <w:trPr>
          <w:trHeight w:val="248"/>
        </w:trPr>
        <w:tc>
          <w:tcPr>
            <w:tcW w:w="593" w:type="dxa"/>
            <w:tcBorders>
              <w:top w:val="single" w:sz="4" w:space="0" w:color="000000"/>
              <w:left w:val="single" w:sz="4" w:space="0" w:color="000000"/>
              <w:bottom w:val="single" w:sz="4" w:space="0" w:color="000000"/>
              <w:right w:val="single" w:sz="4" w:space="0" w:color="000000"/>
            </w:tcBorders>
            <w:vAlign w:val="center"/>
          </w:tcPr>
          <w:p w14:paraId="647C9784" w14:textId="77777777" w:rsidR="005509BA" w:rsidRPr="002A3782" w:rsidRDefault="002A3782" w:rsidP="00B14713">
            <w:pPr>
              <w:jc w:val="center"/>
              <w:rPr>
                <w:lang w:val="ru-RU"/>
              </w:rPr>
            </w:pPr>
            <w:r>
              <w:t>5.6</w:t>
            </w:r>
          </w:p>
        </w:tc>
        <w:tc>
          <w:tcPr>
            <w:tcW w:w="3341" w:type="dxa"/>
            <w:tcBorders>
              <w:top w:val="single" w:sz="4" w:space="0" w:color="000000"/>
              <w:left w:val="single" w:sz="4" w:space="0" w:color="000000"/>
              <w:bottom w:val="single" w:sz="4" w:space="0" w:color="000000"/>
              <w:right w:val="single" w:sz="4" w:space="0" w:color="auto"/>
            </w:tcBorders>
            <w:vAlign w:val="center"/>
          </w:tcPr>
          <w:p w14:paraId="1ACD8869" w14:textId="77777777" w:rsidR="005509BA" w:rsidRDefault="005509BA" w:rsidP="00B14713">
            <w:r>
              <w:t>VPN connection</w:t>
            </w:r>
          </w:p>
        </w:tc>
        <w:tc>
          <w:tcPr>
            <w:tcW w:w="2852" w:type="dxa"/>
            <w:gridSpan w:val="2"/>
            <w:tcBorders>
              <w:top w:val="single" w:sz="4" w:space="0" w:color="auto"/>
              <w:left w:val="single" w:sz="4" w:space="0" w:color="auto"/>
              <w:bottom w:val="single" w:sz="4" w:space="0" w:color="auto"/>
              <w:right w:val="single" w:sz="4" w:space="0" w:color="auto"/>
            </w:tcBorders>
            <w:vAlign w:val="center"/>
          </w:tcPr>
          <w:p w14:paraId="59F6D55F" w14:textId="77777777" w:rsidR="005509BA" w:rsidRPr="00D82689" w:rsidRDefault="002A3782" w:rsidP="00B14713">
            <w:r>
              <w:t>1</w:t>
            </w:r>
            <w:r>
              <w:rPr>
                <w:lang w:val="ru-RU"/>
              </w:rPr>
              <w:t>12</w:t>
            </w:r>
            <w:r>
              <w:t xml:space="preserve"> USD</w:t>
            </w:r>
          </w:p>
        </w:tc>
        <w:tc>
          <w:tcPr>
            <w:tcW w:w="2853" w:type="dxa"/>
            <w:tcBorders>
              <w:top w:val="single" w:sz="4" w:space="0" w:color="auto"/>
              <w:left w:val="single" w:sz="4" w:space="0" w:color="auto"/>
              <w:bottom w:val="single" w:sz="4" w:space="0" w:color="auto"/>
              <w:right w:val="single" w:sz="4" w:space="0" w:color="auto"/>
            </w:tcBorders>
            <w:vAlign w:val="center"/>
          </w:tcPr>
          <w:p w14:paraId="6D648450" w14:textId="77777777" w:rsidR="005509BA" w:rsidRPr="002A3782" w:rsidRDefault="002A3782" w:rsidP="00B14713">
            <w:pPr>
              <w:rPr>
                <w:lang w:val="ru-RU"/>
              </w:rPr>
            </w:pPr>
            <w:r>
              <w:t>1</w:t>
            </w:r>
            <w:r>
              <w:rPr>
                <w:lang w:val="ru-RU"/>
              </w:rPr>
              <w:t>12</w:t>
            </w:r>
            <w:r>
              <w:t xml:space="preserve"> USD</w:t>
            </w:r>
          </w:p>
        </w:tc>
      </w:tr>
    </w:tbl>
    <w:p w14:paraId="398F43B3" w14:textId="77777777" w:rsidR="00ED1DCD" w:rsidRPr="00ED1DCD" w:rsidRDefault="00ED1DCD" w:rsidP="00ED1DCD">
      <w:pPr>
        <w:widowControl/>
        <w:suppressAutoHyphens w:val="0"/>
        <w:spacing w:before="240"/>
      </w:pPr>
      <w:bookmarkStart w:id="44" w:name="__RefHeading___Toc274688_2224848205"/>
      <w:bookmarkStart w:id="45" w:name="_Toc170402443"/>
      <w:bookmarkStart w:id="46" w:name="_Toc168414171"/>
      <w:bookmarkStart w:id="47" w:name="_Toc170402449"/>
      <w:bookmarkStart w:id="48" w:name="_Toc168414078"/>
      <w:bookmarkStart w:id="49" w:name="_Toc170402408"/>
      <w:bookmarkStart w:id="50" w:name="_Toc168414129"/>
      <w:bookmarkStart w:id="51" w:name="_Toc168414162"/>
      <w:bookmarkStart w:id="52" w:name="_Toc170402407"/>
      <w:bookmarkStart w:id="53" w:name="_Toc168414118"/>
      <w:bookmarkStart w:id="54" w:name="_Toc168414074"/>
      <w:bookmarkStart w:id="55" w:name="_Toc170402446"/>
      <w:bookmarkStart w:id="56" w:name="_Toc170402399"/>
      <w:bookmarkStart w:id="57" w:name="_Toc168424443"/>
      <w:bookmarkStart w:id="58" w:name="_Toc168414161"/>
      <w:bookmarkStart w:id="59" w:name="_Toc170402456"/>
      <w:bookmarkStart w:id="60" w:name="_Toc168424450"/>
      <w:bookmarkStart w:id="61" w:name="_Toc168414116"/>
      <w:bookmarkStart w:id="62" w:name="_Toc170402460"/>
      <w:bookmarkStart w:id="63" w:name="_Toc168424444"/>
      <w:bookmarkStart w:id="64" w:name="_Toc168414117"/>
      <w:bookmarkStart w:id="65" w:name="_Toc168414168"/>
      <w:bookmarkStart w:id="66" w:name="_Toc168414127"/>
      <w:bookmarkStart w:id="67" w:name="_Toc170402400"/>
      <w:bookmarkStart w:id="68" w:name="_Toc168414073"/>
      <w:bookmarkStart w:id="69" w:name="_Toc168414126"/>
      <w:bookmarkStart w:id="70" w:name="_Toc170402453"/>
      <w:bookmarkStart w:id="71" w:name="_Toc168414082"/>
      <w:bookmarkStart w:id="72" w:name="_Toc168414081"/>
      <w:bookmarkStart w:id="73" w:name="_Toc168414084"/>
      <w:bookmarkStart w:id="74" w:name="_Toc45545216"/>
      <w:bookmarkStart w:id="75" w:name="_Toc168414072"/>
      <w:bookmarkStart w:id="76" w:name="_Toc45545212"/>
      <w:bookmarkStart w:id="77" w:name="_Toc45545214"/>
      <w:bookmarkStart w:id="78" w:name="_Toc45545209"/>
      <w:bookmarkStart w:id="79" w:name="_Toc45545208"/>
      <w:bookmarkStart w:id="80" w:name="_Toc170402409"/>
      <w:bookmarkStart w:id="81" w:name="_Toc170402447"/>
      <w:bookmarkStart w:id="82" w:name="_Toc168414119"/>
      <w:bookmarkStart w:id="83" w:name="_Toc45545207"/>
      <w:bookmarkStart w:id="84" w:name="_Toc168414128"/>
      <w:bookmarkStart w:id="85" w:name="_Toc170402401"/>
      <w:bookmarkStart w:id="86" w:name="_Toc168414114"/>
      <w:bookmarkStart w:id="87" w:name="_Toc170402398"/>
      <w:bookmarkStart w:id="88" w:name="_Toc168424445"/>
      <w:bookmarkStart w:id="89" w:name="_Toc170402445"/>
      <w:bookmarkStart w:id="90" w:name="_Toc168414160"/>
      <w:bookmarkStart w:id="91" w:name="_Toc45545215"/>
      <w:bookmarkStart w:id="92" w:name="_Toc168414165"/>
      <w:bookmarkStart w:id="93" w:name="_Toc45545217"/>
      <w:bookmarkStart w:id="94" w:name="_Toc45545218"/>
      <w:bookmarkStart w:id="95" w:name="_Toc45545219"/>
      <w:bookmarkStart w:id="96" w:name="_Toc45545220"/>
      <w:bookmarkStart w:id="97" w:name="_Toc45545221"/>
      <w:bookmarkStart w:id="98" w:name="_Toc168414071"/>
      <w:bookmarkStart w:id="99" w:name="_Toc168414115"/>
      <w:bookmarkStart w:id="100" w:name="_Toc168414159"/>
      <w:bookmarkStart w:id="101" w:name="_Toc168424441"/>
      <w:bookmarkStart w:id="102" w:name="_Toc170402397"/>
      <w:bookmarkStart w:id="103" w:name="_Toc170402444"/>
      <w:bookmarkStart w:id="104" w:name="_Toc168424454"/>
      <w:bookmarkStart w:id="105" w:name="_Toc168424451"/>
      <w:bookmarkStart w:id="106" w:name="_Toc168424447"/>
      <w:bookmarkStart w:id="107" w:name="_Toc170402403"/>
      <w:bookmarkStart w:id="108" w:name="_Toc168424457"/>
      <w:bookmarkStart w:id="109" w:name="_Toc170402411"/>
      <w:bookmarkStart w:id="110" w:name="_Toc168414124"/>
      <w:bookmarkStart w:id="111" w:name="_Toc170402396"/>
      <w:bookmarkStart w:id="112" w:name="_Toc45545210"/>
      <w:bookmarkStart w:id="113" w:name="_Toc168424440"/>
      <w:bookmarkStart w:id="114" w:name="_Toc45545211"/>
      <w:bookmarkStart w:id="115" w:name="_Toc168414158"/>
      <w:bookmarkStart w:id="116" w:name="_Toc168414175"/>
      <w:bookmarkStart w:id="117" w:name="_Toc170402458"/>
      <w:bookmarkStart w:id="118" w:name="_Toc168414164"/>
      <w:bookmarkStart w:id="119" w:name="_Toc168424442"/>
      <w:bookmarkStart w:id="120" w:name="_Toc170402448"/>
      <w:bookmarkStart w:id="121" w:name="_Toc168414083"/>
      <w:bookmarkStart w:id="122" w:name="_Toc168414173"/>
      <w:bookmarkStart w:id="123" w:name="_Toc168414086"/>
      <w:bookmarkStart w:id="124" w:name="_Toc168424446"/>
      <w:bookmarkStart w:id="125" w:name="_Toc168414130"/>
      <w:bookmarkStart w:id="126" w:name="_Toc168414174"/>
      <w:bookmarkStart w:id="127" w:name="_Toc168424456"/>
      <w:bookmarkStart w:id="128" w:name="_Toc170402412"/>
      <w:bookmarkStart w:id="129" w:name="_Toc170402459"/>
      <w:bookmarkStart w:id="130" w:name="_Toc168414087"/>
      <w:bookmarkStart w:id="131" w:name="_Toc168414080"/>
      <w:bookmarkStart w:id="132" w:name="_Toc168424452"/>
      <w:bookmarkStart w:id="133" w:name="_Toc168414121"/>
      <w:bookmarkStart w:id="134" w:name="_Toc168414077"/>
      <w:bookmarkStart w:id="135" w:name="_Toc168414075"/>
      <w:bookmarkStart w:id="136" w:name="_Toc168414125"/>
      <w:bookmarkStart w:id="137" w:name="_Toc168424453"/>
      <w:bookmarkStart w:id="138" w:name="_Toc168414120"/>
      <w:bookmarkStart w:id="139" w:name="_Toc170402454"/>
      <w:bookmarkStart w:id="140" w:name="_Toc170402402"/>
      <w:bookmarkStart w:id="141" w:name="_Toc168414122"/>
      <w:bookmarkStart w:id="142" w:name="_Toc168414166"/>
      <w:bookmarkStart w:id="143" w:name="_Toc168424448"/>
      <w:bookmarkStart w:id="144" w:name="_Toc170402404"/>
      <w:bookmarkStart w:id="145" w:name="_Toc170402451"/>
      <w:bookmarkStart w:id="146" w:name="_Toc168414079"/>
      <w:bookmarkStart w:id="147" w:name="_Toc168414123"/>
      <w:bookmarkStart w:id="148" w:name="_Toc168414167"/>
      <w:bookmarkStart w:id="149" w:name="_Toc168424449"/>
      <w:bookmarkStart w:id="150" w:name="_Toc170402405"/>
      <w:bookmarkStart w:id="151" w:name="_Toc170402452"/>
      <w:bookmarkStart w:id="152" w:name="_Toc168414131"/>
      <w:bookmarkStart w:id="153" w:name="_Toc168414163"/>
      <w:bookmarkStart w:id="154" w:name="_Toc170402413"/>
      <w:bookmarkStart w:id="155" w:name="_Toc168414169"/>
      <w:bookmarkStart w:id="156" w:name="_Toc168414070"/>
      <w:bookmarkStart w:id="157" w:name="_Toc170402455"/>
      <w:bookmarkStart w:id="158" w:name="_Toc170402457"/>
      <w:bookmarkStart w:id="159" w:name="_Toc170402406"/>
      <w:bookmarkStart w:id="160" w:name="_Toc168414172"/>
      <w:bookmarkStart w:id="161" w:name="_Toc168414170"/>
      <w:bookmarkStart w:id="162" w:name="_Toc168414085"/>
      <w:bookmarkStart w:id="163" w:name="_Toc170402450"/>
      <w:bookmarkStart w:id="164" w:name="_Toc168424455"/>
      <w:bookmarkStart w:id="165" w:name="_Toc168414076"/>
      <w:bookmarkStart w:id="166" w:name="_Toc45545213"/>
      <w:bookmarkStart w:id="167" w:name="_Toc170402410"/>
      <w:bookmarkStart w:id="168" w:name="_Toc518540087"/>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t xml:space="preserve">The Client may order Technological Services not listed here. In such cases, the Client shall reimburse the Broker for all fees deducted from the Company by third parties in connection with the provision of these services. If fees are charged in a currency other </w:t>
      </w:r>
      <w:r>
        <w:rPr>
          <w:rFonts w:eastAsia="Times New Roman" w:cs="Times New Roman"/>
          <w:lang w:eastAsia="en-GB"/>
        </w:rPr>
        <w:t>than</w:t>
      </w:r>
      <w:r>
        <w:t xml:space="preserve"> USD, the Company may deduct the fees in USD by performing the necessary conversion operations without requiring separate instructions from the Client.</w:t>
      </w:r>
    </w:p>
    <w:p w14:paraId="4824F34F" w14:textId="77777777" w:rsidR="00584A73" w:rsidRPr="00D82689" w:rsidRDefault="00584A73" w:rsidP="00584A73">
      <w:pPr>
        <w:pStyle w:val="2"/>
      </w:pPr>
      <w:r>
        <w:t>A</w:t>
      </w:r>
      <w:bookmarkEnd w:id="168"/>
      <w:r>
        <w:t>dditional Services</w:t>
      </w:r>
    </w:p>
    <w:p w14:paraId="4C96E9E7" w14:textId="77777777" w:rsidR="00584A73" w:rsidRPr="00D82689" w:rsidRDefault="00584A73" w:rsidP="00584A73">
      <w:pPr>
        <w:pStyle w:val="3"/>
        <w:numPr>
          <w:ilvl w:val="1"/>
          <w:numId w:val="14"/>
        </w:numPr>
      </w:pPr>
      <w:bookmarkStart w:id="169" w:name="__RefHeading___Toc274690_2224848205"/>
      <w:bookmarkStart w:id="170" w:name="_Toc96985333"/>
      <w:bookmarkEnd w:id="169"/>
      <w:r>
        <w:t>T</w:t>
      </w:r>
      <w:bookmarkEnd w:id="170"/>
      <w:r>
        <w:t>ransfer Funds</w:t>
      </w:r>
    </w:p>
    <w:tbl>
      <w:tblPr>
        <w:tblStyle w:val="ac"/>
        <w:tblW w:w="9639" w:type="dxa"/>
        <w:tblLayout w:type="fixed"/>
        <w:tblLook w:val="04A0" w:firstRow="1" w:lastRow="0" w:firstColumn="1" w:lastColumn="0" w:noHBand="0" w:noVBand="1"/>
      </w:tblPr>
      <w:tblGrid>
        <w:gridCol w:w="562"/>
        <w:gridCol w:w="3402"/>
        <w:gridCol w:w="2978"/>
        <w:gridCol w:w="2697"/>
      </w:tblGrid>
      <w:tr w:rsidR="00584A73" w14:paraId="7400E6DD" w14:textId="77777777" w:rsidTr="003B3009">
        <w:trPr>
          <w:trHeight w:val="239"/>
        </w:trPr>
        <w:tc>
          <w:tcPr>
            <w:tcW w:w="562" w:type="dxa"/>
            <w:vAlign w:val="center"/>
          </w:tcPr>
          <w:p w14:paraId="54981257" w14:textId="77777777" w:rsidR="00584A73" w:rsidRDefault="00584A73" w:rsidP="00B14713">
            <w:pPr>
              <w:jc w:val="center"/>
              <w:rPr>
                <w:b/>
                <w:bCs/>
              </w:rPr>
            </w:pPr>
            <w:bookmarkStart w:id="171" w:name="_Toc122019372"/>
            <w:bookmarkStart w:id="172" w:name="_Toc111467746"/>
            <w:bookmarkStart w:id="173" w:name="_Toc111461536"/>
            <w:bookmarkStart w:id="174" w:name="_Toc109834969"/>
            <w:bookmarkStart w:id="175" w:name="_Toc109834674"/>
            <w:bookmarkStart w:id="176" w:name="_Toc106378690"/>
            <w:bookmarkStart w:id="177" w:name="_Toc122003254"/>
            <w:bookmarkStart w:id="178" w:name="_Toc158383433"/>
            <w:bookmarkEnd w:id="171"/>
            <w:bookmarkEnd w:id="172"/>
            <w:bookmarkEnd w:id="173"/>
            <w:bookmarkEnd w:id="174"/>
            <w:bookmarkEnd w:id="175"/>
            <w:bookmarkEnd w:id="176"/>
            <w:bookmarkEnd w:id="177"/>
            <w:bookmarkEnd w:id="178"/>
            <w:r>
              <w:rPr>
                <w:b/>
                <w:bCs/>
              </w:rPr>
              <w:t>No</w:t>
            </w:r>
          </w:p>
        </w:tc>
        <w:tc>
          <w:tcPr>
            <w:tcW w:w="3402" w:type="dxa"/>
            <w:vAlign w:val="center"/>
          </w:tcPr>
          <w:p w14:paraId="6904821F" w14:textId="77777777" w:rsidR="00584A73" w:rsidRDefault="00584A73" w:rsidP="00B14713">
            <w:pPr>
              <w:jc w:val="center"/>
              <w:rPr>
                <w:b/>
                <w:bCs/>
              </w:rPr>
            </w:pPr>
            <w:r>
              <w:rPr>
                <w:b/>
                <w:bCs/>
              </w:rPr>
              <w:t>Type of services</w:t>
            </w:r>
          </w:p>
        </w:tc>
        <w:tc>
          <w:tcPr>
            <w:tcW w:w="2978" w:type="dxa"/>
            <w:vAlign w:val="center"/>
          </w:tcPr>
          <w:p w14:paraId="6D00DC64" w14:textId="77777777" w:rsidR="00584A73" w:rsidRPr="00CC6B5E" w:rsidRDefault="00584A73" w:rsidP="00B14713">
            <w:pPr>
              <w:jc w:val="center"/>
              <w:rPr>
                <w:b/>
                <w:bCs/>
                <w:lang w:val="ru-RU"/>
              </w:rPr>
            </w:pPr>
            <w:r>
              <w:rPr>
                <w:b/>
                <w:bCs/>
              </w:rPr>
              <w:t>Fees</w:t>
            </w:r>
          </w:p>
        </w:tc>
        <w:tc>
          <w:tcPr>
            <w:tcW w:w="2697" w:type="dxa"/>
            <w:vAlign w:val="center"/>
          </w:tcPr>
          <w:p w14:paraId="5513CF34" w14:textId="77777777" w:rsidR="00584A73" w:rsidRDefault="00584A73" w:rsidP="00B14713">
            <w:pPr>
              <w:jc w:val="center"/>
              <w:rPr>
                <w:b/>
                <w:bCs/>
              </w:rPr>
            </w:pPr>
            <w:r>
              <w:rPr>
                <w:b/>
                <w:bCs/>
              </w:rPr>
              <w:t>Comments</w:t>
            </w:r>
          </w:p>
        </w:tc>
      </w:tr>
      <w:tr w:rsidR="00584A73" w14:paraId="7013D335" w14:textId="77777777" w:rsidTr="003B3009">
        <w:trPr>
          <w:trHeight w:val="254"/>
        </w:trPr>
        <w:tc>
          <w:tcPr>
            <w:tcW w:w="562" w:type="dxa"/>
            <w:vAlign w:val="center"/>
          </w:tcPr>
          <w:p w14:paraId="61A5987B" w14:textId="77777777" w:rsidR="00584A73" w:rsidRDefault="00584A73" w:rsidP="00B14713">
            <w:pPr>
              <w:jc w:val="center"/>
            </w:pPr>
            <w:r>
              <w:t>1</w:t>
            </w:r>
          </w:p>
        </w:tc>
        <w:tc>
          <w:tcPr>
            <w:tcW w:w="9077" w:type="dxa"/>
            <w:gridSpan w:val="3"/>
            <w:vAlign w:val="center"/>
          </w:tcPr>
          <w:p w14:paraId="28D78B9D" w14:textId="4C911EB2" w:rsidR="00584A73" w:rsidRDefault="003A76E4" w:rsidP="00B14713">
            <w:pPr>
              <w:jc w:val="center"/>
              <w:rPr>
                <w:b/>
                <w:bCs/>
              </w:rPr>
            </w:pPr>
            <w:r>
              <w:rPr>
                <w:b/>
                <w:bCs/>
              </w:rPr>
              <w:t>Digital Assets</w:t>
            </w:r>
          </w:p>
        </w:tc>
      </w:tr>
      <w:tr w:rsidR="00584A73" w14:paraId="7A34DC64" w14:textId="77777777" w:rsidTr="003B3009">
        <w:trPr>
          <w:trHeight w:val="239"/>
        </w:trPr>
        <w:tc>
          <w:tcPr>
            <w:tcW w:w="562" w:type="dxa"/>
            <w:vAlign w:val="center"/>
          </w:tcPr>
          <w:p w14:paraId="439A9BE7" w14:textId="77777777" w:rsidR="009C575F" w:rsidRPr="009C575F" w:rsidRDefault="00584A73" w:rsidP="009C575F">
            <w:pPr>
              <w:jc w:val="center"/>
              <w:rPr>
                <w:lang w:val="ru-RU"/>
              </w:rPr>
            </w:pPr>
            <w:r>
              <w:t>1.</w:t>
            </w:r>
            <w:r>
              <w:rPr>
                <w:lang w:val="ru-RU"/>
              </w:rPr>
              <w:t>1</w:t>
            </w:r>
          </w:p>
        </w:tc>
        <w:tc>
          <w:tcPr>
            <w:tcW w:w="3402" w:type="dxa"/>
            <w:vAlign w:val="center"/>
          </w:tcPr>
          <w:p w14:paraId="1D5BCC4E" w14:textId="5D31EFA4" w:rsidR="00584A73" w:rsidRDefault="00584A73" w:rsidP="00B14713">
            <w:r>
              <w:t>Withdrwal Digital Assets from Account</w:t>
            </w:r>
          </w:p>
        </w:tc>
        <w:tc>
          <w:tcPr>
            <w:tcW w:w="2978" w:type="dxa"/>
            <w:vAlign w:val="center"/>
          </w:tcPr>
          <w:p w14:paraId="65B98894" w14:textId="016756F2" w:rsidR="00584A73" w:rsidRPr="006C2910" w:rsidRDefault="003A76E4" w:rsidP="00B14713">
            <w:pPr>
              <w:rPr>
                <w:lang w:val="en-US"/>
              </w:rPr>
            </w:pPr>
            <w:r>
              <w:t>20 USD</w:t>
            </w:r>
          </w:p>
        </w:tc>
        <w:tc>
          <w:tcPr>
            <w:tcW w:w="2697" w:type="dxa"/>
            <w:vAlign w:val="center"/>
          </w:tcPr>
          <w:p w14:paraId="19B9711B" w14:textId="77777777" w:rsidR="00584A73" w:rsidRDefault="00584A73" w:rsidP="00B14713"/>
        </w:tc>
      </w:tr>
      <w:tr w:rsidR="00584A73" w14:paraId="0A137C7F" w14:textId="77777777" w:rsidTr="003B3009">
        <w:trPr>
          <w:trHeight w:val="239"/>
        </w:trPr>
        <w:tc>
          <w:tcPr>
            <w:tcW w:w="562" w:type="dxa"/>
            <w:vAlign w:val="center"/>
          </w:tcPr>
          <w:p w14:paraId="58F7E263" w14:textId="77777777" w:rsidR="00584A73" w:rsidRDefault="00584A73" w:rsidP="00B14713">
            <w:pPr>
              <w:jc w:val="center"/>
            </w:pPr>
            <w:r>
              <w:t>2</w:t>
            </w:r>
          </w:p>
        </w:tc>
        <w:tc>
          <w:tcPr>
            <w:tcW w:w="9077" w:type="dxa"/>
            <w:gridSpan w:val="3"/>
            <w:vAlign w:val="center"/>
          </w:tcPr>
          <w:p w14:paraId="38B4C5C2" w14:textId="77777777" w:rsidR="00584A73" w:rsidRDefault="00584A73" w:rsidP="00B14713">
            <w:pPr>
              <w:jc w:val="center"/>
            </w:pPr>
            <w:r>
              <w:rPr>
                <w:b/>
                <w:bCs/>
              </w:rPr>
              <w:t>USD and EUR Transfers</w:t>
            </w:r>
          </w:p>
        </w:tc>
      </w:tr>
      <w:tr w:rsidR="00584A73" w14:paraId="231A74E5" w14:textId="77777777" w:rsidTr="003B3009">
        <w:trPr>
          <w:trHeight w:val="507"/>
        </w:trPr>
        <w:tc>
          <w:tcPr>
            <w:tcW w:w="562" w:type="dxa"/>
            <w:vAlign w:val="center"/>
          </w:tcPr>
          <w:p w14:paraId="289BBF86" w14:textId="77777777" w:rsidR="00584A73" w:rsidRDefault="00584A73" w:rsidP="00B14713">
            <w:pPr>
              <w:jc w:val="center"/>
            </w:pPr>
            <w:r>
              <w:t>2.1</w:t>
            </w:r>
          </w:p>
        </w:tc>
        <w:tc>
          <w:tcPr>
            <w:tcW w:w="3402" w:type="dxa"/>
            <w:vAlign w:val="center"/>
          </w:tcPr>
          <w:p w14:paraId="7A0F31AC" w14:textId="77777777" w:rsidR="00584A73" w:rsidRDefault="00584A73" w:rsidP="00B14713">
            <w:r>
              <w:t>Withdrwal from Account</w:t>
            </w:r>
          </w:p>
        </w:tc>
        <w:tc>
          <w:tcPr>
            <w:tcW w:w="2978" w:type="dxa"/>
            <w:vAlign w:val="center"/>
          </w:tcPr>
          <w:p w14:paraId="33F183F4" w14:textId="77777777" w:rsidR="00584A73" w:rsidRDefault="00584A73" w:rsidP="00B14713">
            <w:r>
              <w:t>0.2%, not least 30 USD/</w:t>
            </w:r>
            <w:r>
              <w:rPr>
                <w:lang w:val="en-US"/>
              </w:rPr>
              <w:t>EUR</w:t>
            </w:r>
            <w:r>
              <w:t xml:space="preserve"> and not more then 200 USD/EUR</w:t>
            </w:r>
          </w:p>
        </w:tc>
        <w:tc>
          <w:tcPr>
            <w:tcW w:w="2697" w:type="dxa"/>
            <w:vAlign w:val="center"/>
          </w:tcPr>
          <w:p w14:paraId="535FF3D8" w14:textId="77777777" w:rsidR="00584A73" w:rsidRDefault="00584A73" w:rsidP="00B14713"/>
        </w:tc>
      </w:tr>
      <w:tr w:rsidR="00584A73" w14:paraId="10D4E3F6" w14:textId="77777777" w:rsidTr="003B3009">
        <w:trPr>
          <w:trHeight w:val="239"/>
        </w:trPr>
        <w:tc>
          <w:tcPr>
            <w:tcW w:w="562" w:type="dxa"/>
            <w:vAlign w:val="center"/>
          </w:tcPr>
          <w:p w14:paraId="49033D59" w14:textId="77777777" w:rsidR="00584A73" w:rsidRDefault="00584A73" w:rsidP="00B14713">
            <w:pPr>
              <w:jc w:val="center"/>
            </w:pPr>
            <w:r>
              <w:t>3.</w:t>
            </w:r>
          </w:p>
        </w:tc>
        <w:tc>
          <w:tcPr>
            <w:tcW w:w="9077" w:type="dxa"/>
            <w:gridSpan w:val="3"/>
            <w:vAlign w:val="center"/>
          </w:tcPr>
          <w:p w14:paraId="1C55561A" w14:textId="77777777" w:rsidR="00584A73" w:rsidRDefault="00584A73" w:rsidP="00B14713">
            <w:pPr>
              <w:jc w:val="center"/>
              <w:rPr>
                <w:b/>
                <w:bCs/>
              </w:rPr>
            </w:pPr>
            <w:r>
              <w:rPr>
                <w:b/>
                <w:bCs/>
              </w:rPr>
              <w:t>KZT transfers</w:t>
            </w:r>
          </w:p>
        </w:tc>
      </w:tr>
      <w:tr w:rsidR="00584A73" w14:paraId="7625B735" w14:textId="77777777" w:rsidTr="003B3009">
        <w:trPr>
          <w:trHeight w:val="493"/>
        </w:trPr>
        <w:tc>
          <w:tcPr>
            <w:tcW w:w="562" w:type="dxa"/>
            <w:vAlign w:val="center"/>
          </w:tcPr>
          <w:p w14:paraId="523A16E7" w14:textId="77777777" w:rsidR="00584A73" w:rsidRDefault="00584A73" w:rsidP="00B14713">
            <w:pPr>
              <w:jc w:val="center"/>
            </w:pPr>
            <w:r>
              <w:t>3.1</w:t>
            </w:r>
          </w:p>
        </w:tc>
        <w:tc>
          <w:tcPr>
            <w:tcW w:w="3402" w:type="dxa"/>
            <w:vAlign w:val="center"/>
          </w:tcPr>
          <w:p w14:paraId="198D8126" w14:textId="77777777" w:rsidR="00584A73" w:rsidRDefault="00584A73" w:rsidP="00B14713">
            <w:r>
              <w:t>Withdrwal from Account</w:t>
            </w:r>
          </w:p>
        </w:tc>
        <w:tc>
          <w:tcPr>
            <w:tcW w:w="2978" w:type="dxa"/>
            <w:vAlign w:val="center"/>
          </w:tcPr>
          <w:p w14:paraId="64A0517D" w14:textId="77777777" w:rsidR="00584A73" w:rsidRPr="00901AA5" w:rsidRDefault="00584A73" w:rsidP="00B14713">
            <w:pPr>
              <w:rPr>
                <w:lang w:val="en-US"/>
              </w:rPr>
            </w:pPr>
            <w:r>
              <w:t xml:space="preserve">0.1%, not least 500 KZT and </w:t>
            </w:r>
            <w:r>
              <w:lastRenderedPageBreak/>
              <w:t>not more then 15000 KZT</w:t>
            </w:r>
          </w:p>
        </w:tc>
        <w:tc>
          <w:tcPr>
            <w:tcW w:w="2697" w:type="dxa"/>
            <w:vAlign w:val="center"/>
          </w:tcPr>
          <w:p w14:paraId="75631B92" w14:textId="77777777" w:rsidR="00584A73" w:rsidRDefault="00584A73" w:rsidP="00B14713"/>
        </w:tc>
      </w:tr>
    </w:tbl>
    <w:p w14:paraId="444444FB" w14:textId="77777777" w:rsidR="00636D89" w:rsidRPr="00DE37B0" w:rsidRDefault="00636D89" w:rsidP="000A3AB1"/>
    <w:sectPr w:rsidR="00636D89" w:rsidRPr="00DE37B0">
      <w:headerReference w:type="even" r:id="rId13"/>
      <w:headerReference w:type="default" r:id="rId14"/>
      <w:footerReference w:type="even" r:id="rId15"/>
      <w:footerReference w:type="default" r:id="rId16"/>
      <w:headerReference w:type="first" r:id="rId17"/>
      <w:footerReference w:type="first" r:id="rId18"/>
      <w:pgSz w:w="11906" w:h="16838"/>
      <w:pgMar w:top="2410" w:right="1134" w:bottom="1843" w:left="85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5F314" w14:textId="77777777" w:rsidR="000339BA" w:rsidRDefault="000339BA" w:rsidP="004A438E">
      <w:r>
        <w:separator/>
      </w:r>
    </w:p>
  </w:endnote>
  <w:endnote w:type="continuationSeparator" w:id="0">
    <w:p w14:paraId="5A2BD480" w14:textId="77777777" w:rsidR="000339BA" w:rsidRDefault="000339BA" w:rsidP="004A438E">
      <w:r>
        <w:continuationSeparator/>
      </w:r>
    </w:p>
  </w:endnote>
  <w:endnote w:type="continuationNotice" w:id="1">
    <w:p w14:paraId="0B7B300A" w14:textId="77777777" w:rsidR="000339BA" w:rsidRDefault="000339BA"/>
  </w:endnote>
  <w:endnote w:id="2">
    <w:p w14:paraId="4EEB58CC" w14:textId="77777777" w:rsidR="005E5D4D" w:rsidRPr="001E1B04" w:rsidRDefault="005E5D4D" w:rsidP="008F109E">
      <w:pPr>
        <w:pStyle w:val="af0"/>
      </w:pPr>
      <w:r>
        <w:rPr>
          <w:rStyle w:val="af5"/>
        </w:rPr>
        <w:endnoteRef/>
      </w:r>
      <w:r>
        <w:t xml:space="preserve"> </w:t>
      </w:r>
      <w:r w:rsidR="00427879" w:rsidRPr="004A438E">
        <w:t>Any exchange and regulatory fees paid by Client</w:t>
      </w:r>
      <w:r w:rsidR="00427879" w:rsidRPr="00427879">
        <w:t xml:space="preserve">. </w:t>
      </w:r>
    </w:p>
  </w:endnote>
  <w:endnote w:id="3">
    <w:p w14:paraId="35BA6500" w14:textId="77777777" w:rsidR="00BB3982" w:rsidRPr="00A000B1" w:rsidRDefault="00BB3982" w:rsidP="00BB3982">
      <w:pPr>
        <w:pStyle w:val="af3"/>
      </w:pPr>
      <w:r>
        <w:rPr>
          <w:rStyle w:val="af5"/>
        </w:rPr>
        <w:endnoteRef/>
      </w:r>
      <w:r>
        <w:t xml:space="preserve"> </w:t>
      </w:r>
      <w:r w:rsidR="0093341D">
        <w:t>Fees for the expiration of derivative contracts are charged based on the transaction prices.</w:t>
      </w:r>
    </w:p>
  </w:endnote>
  <w:endnote w:id="4">
    <w:p w14:paraId="4AC17123" w14:textId="77777777" w:rsidR="00242F4F" w:rsidRPr="008946A0" w:rsidRDefault="00242F4F">
      <w:pPr>
        <w:pStyle w:val="af3"/>
      </w:pPr>
      <w:r>
        <w:rPr>
          <w:rStyle w:val="af5"/>
        </w:rPr>
        <w:endnoteRef/>
      </w:r>
      <w:r>
        <w:t xml:space="preserve"> </w:t>
      </w:r>
      <w:r w:rsidRPr="00C022B9">
        <w:t>Any external depository fees paid by Client</w:t>
      </w:r>
    </w:p>
  </w:endnote>
  <w:endnote w:id="5">
    <w:p w14:paraId="7A1E3822" w14:textId="207832B1" w:rsidR="00242F4F" w:rsidRPr="001E1B04" w:rsidRDefault="00242F4F">
      <w:pPr>
        <w:pStyle w:val="af3"/>
      </w:pPr>
      <w:r>
        <w:rPr>
          <w:rStyle w:val="af5"/>
        </w:rPr>
        <w:endnoteRef/>
      </w:r>
      <w:r>
        <w:t xml:space="preserve"> </w:t>
      </w:r>
      <w:r w:rsidR="007A05A2">
        <w:t>MAQO</w:t>
      </w:r>
      <w:r>
        <w:t xml:space="preserve"> Ltd</w:t>
      </w:r>
      <w:r w:rsidRPr="00C47FD1">
        <w:t xml:space="preserve"> is not a vendor of Market data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GoodPro-Medium">
    <w:altName w:val="Cambria"/>
    <w:charset w:val="01"/>
    <w:family w:val="roman"/>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GoodPro">
    <w:altName w:val="Cambria"/>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CFC3E"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8" w:type="dxa"/>
      <w:tblLayout w:type="fixed"/>
      <w:tblCellMar>
        <w:left w:w="0" w:type="dxa"/>
        <w:right w:w="0" w:type="dxa"/>
      </w:tblCellMar>
      <w:tblLook w:val="0000" w:firstRow="0" w:lastRow="0" w:firstColumn="0" w:lastColumn="0" w:noHBand="0" w:noVBand="0"/>
    </w:tblPr>
    <w:tblGrid>
      <w:gridCol w:w="3510"/>
      <w:gridCol w:w="3781"/>
      <w:gridCol w:w="2347"/>
    </w:tblGrid>
    <w:tr w:rsidR="0067038A" w14:paraId="71CC7B72" w14:textId="77777777" w:rsidTr="00C2689A">
      <w:trPr>
        <w:trHeight w:val="555"/>
      </w:trPr>
      <w:tc>
        <w:tcPr>
          <w:tcW w:w="3510" w:type="dxa"/>
          <w:tcBorders>
            <w:top w:val="single" w:sz="4" w:space="0" w:color="000000"/>
          </w:tcBorders>
        </w:tcPr>
        <w:p w14:paraId="1E668F2E" w14:textId="67ABA5BB" w:rsidR="00000000" w:rsidRPr="00893870" w:rsidRDefault="00000000" w:rsidP="0067038A">
          <w:pPr>
            <w:pStyle w:val="BasicParagraph"/>
            <w:widowControl w:val="0"/>
            <w:spacing w:line="240" w:lineRule="auto"/>
            <w:rPr>
              <w:rFonts w:ascii="GoodPro-Medium" w:hAnsi="GoodPro-Medium" w:cs="GoodPro-Medium"/>
            </w:rPr>
          </w:pPr>
          <w:r>
            <w:t>MAQO Ltd</w:t>
          </w:r>
        </w:p>
      </w:tc>
      <w:tc>
        <w:tcPr>
          <w:tcW w:w="3781" w:type="dxa"/>
          <w:tcBorders>
            <w:top w:val="single" w:sz="4" w:space="0" w:color="000000"/>
          </w:tcBorders>
        </w:tcPr>
        <w:p w14:paraId="5F8FAB2E" w14:textId="77777777" w:rsidR="00000000" w:rsidRDefault="00000000" w:rsidP="0067038A">
          <w:pPr>
            <w:pStyle w:val="BasicParagraph"/>
            <w:widowControl w:val="0"/>
            <w:spacing w:line="240" w:lineRule="auto"/>
          </w:pPr>
          <w:r w:rsidRPr="008F17DA">
            <w:rPr>
              <w:highlight w:val="yellow"/>
            </w:rPr>
            <w:br/>
          </w:r>
          <w:r w:rsidRPr="008B26D1">
            <w:t>Z05T3F</w:t>
          </w:r>
          <w:r>
            <w:t>6</w:t>
          </w:r>
          <w:r w:rsidRPr="008B26D1">
            <w:t xml:space="preserve">, Kazakhstan, Astana, </w:t>
          </w:r>
        </w:p>
        <w:p w14:paraId="25A6EAE4" w14:textId="77777777" w:rsidR="00000000" w:rsidRPr="008F17DA" w:rsidRDefault="00000000" w:rsidP="0067038A">
          <w:pPr>
            <w:pStyle w:val="BasicParagraph"/>
            <w:widowControl w:val="0"/>
            <w:spacing w:line="240" w:lineRule="auto"/>
            <w:rPr>
              <w:highlight w:val="yellow"/>
            </w:rPr>
          </w:pPr>
          <w:r w:rsidRPr="00A12BDD">
            <w:t xml:space="preserve">55/23 </w:t>
          </w:r>
          <w:proofErr w:type="spellStart"/>
          <w:r w:rsidRPr="00A12BDD">
            <w:t>Mangilik</w:t>
          </w:r>
          <w:proofErr w:type="spellEnd"/>
          <w:r w:rsidRPr="00A12BDD">
            <w:t xml:space="preserve"> El, office 345</w:t>
          </w:r>
        </w:p>
      </w:tc>
      <w:tc>
        <w:tcPr>
          <w:tcW w:w="2347" w:type="dxa"/>
          <w:tcBorders>
            <w:top w:val="single" w:sz="4" w:space="0" w:color="000000"/>
          </w:tcBorders>
        </w:tcPr>
        <w:p w14:paraId="0F8DE4E1" w14:textId="77777777" w:rsidR="00000000" w:rsidRDefault="00000000" w:rsidP="0067038A">
          <w:pPr>
            <w:pStyle w:val="BasicParagraph"/>
            <w:widowControl w:val="0"/>
            <w:spacing w:line="240" w:lineRule="auto"/>
          </w:pPr>
          <w:r>
            <w:br/>
          </w:r>
          <w:proofErr w:type="spellStart"/>
          <w:r>
            <w:t>tel</w:t>
          </w:r>
          <w:proofErr w:type="spellEnd"/>
          <w:r>
            <w:t xml:space="preserve">: </w:t>
          </w:r>
          <w:r w:rsidRPr="00147F27">
            <w:t>+7</w:t>
          </w:r>
          <w:r>
            <w:t xml:space="preserve"> (</w:t>
          </w:r>
          <w:r w:rsidRPr="00692310">
            <w:t>771</w:t>
          </w:r>
          <w:r>
            <w:t xml:space="preserve">) </w:t>
          </w:r>
          <w:r w:rsidRPr="00692310">
            <w:t>929</w:t>
          </w:r>
          <w:r>
            <w:t> </w:t>
          </w:r>
          <w:r w:rsidRPr="00692310">
            <w:t>02</w:t>
          </w:r>
          <w:r>
            <w:t> </w:t>
          </w:r>
          <w:r w:rsidRPr="00692310">
            <w:t>08</w:t>
          </w:r>
        </w:p>
        <w:p w14:paraId="51923A1E" w14:textId="6590C9C6" w:rsidR="00000000" w:rsidRDefault="00000000" w:rsidP="0067038A">
          <w:pPr>
            <w:pStyle w:val="BasicParagraph"/>
            <w:widowControl w:val="0"/>
            <w:spacing w:line="240" w:lineRule="auto"/>
          </w:pPr>
          <w:r>
            <w:t>www.maqo.kz</w:t>
          </w:r>
        </w:p>
      </w:tc>
    </w:tr>
  </w:tbl>
  <w:p w14:paraId="60DC4FDF" w14:textId="6A4B50A9" w:rsidR="00000000" w:rsidRPr="00AA10E6" w:rsidRDefault="00000000">
    <w:pPr>
      <w:rPr>
        <w:rFonts w:ascii="Arial" w:hAnsi="Arial"/>
      </w:rPr>
    </w:pPr>
    <w:r>
      <w:rPr>
        <w:noProof/>
      </w:rPr>
      <w:drawing>
        <wp:anchor distT="0" distB="0" distL="114300" distR="114300" simplePos="0" relativeHeight="251657216" behindDoc="1" locked="0" layoutInCell="1" allowOverlap="1" wp14:anchorId="7B957EC4" wp14:editId="269DA52B">
          <wp:simplePos x="0" y="0"/>
          <wp:positionH relativeFrom="page">
            <wp:posOffset>0</wp:posOffset>
          </wp:positionH>
          <wp:positionV relativeFrom="page">
            <wp:posOffset>1542</wp:posOffset>
          </wp:positionV>
          <wp:extent cx="7560000" cy="10692000"/>
          <wp:effectExtent l="0" t="0" r="3175" b="0"/>
          <wp:wrapNone/>
          <wp:docPr id="110961440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614403" name="Рисунок 1109614403"/>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7EF11359" w14:textId="77777777" w:rsidR="00000000" w:rsidRPr="00AA10E6" w:rsidRDefault="00000000">
    <w:pPr>
      <w:rPr>
        <w:rFonts w:ascii="Arial" w:hAnsi="Arial"/>
      </w:rPr>
    </w:pPr>
  </w:p>
  <w:p w14:paraId="6B9AC734" w14:textId="77777777" w:rsidR="00000000" w:rsidRPr="00AA10E6" w:rsidRDefault="00000000" w:rsidP="00732DE4">
    <w:pPr>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8" w:type="dxa"/>
      <w:tblLayout w:type="fixed"/>
      <w:tblCellMar>
        <w:left w:w="0" w:type="dxa"/>
        <w:right w:w="0" w:type="dxa"/>
      </w:tblCellMar>
      <w:tblLook w:val="0000" w:firstRow="0" w:lastRow="0" w:firstColumn="0" w:lastColumn="0" w:noHBand="0" w:noVBand="0"/>
    </w:tblPr>
    <w:tblGrid>
      <w:gridCol w:w="3510"/>
      <w:gridCol w:w="3781"/>
      <w:gridCol w:w="2347"/>
    </w:tblGrid>
    <w:tr w:rsidR="0067038A" w14:paraId="1EBC81BC" w14:textId="77777777" w:rsidTr="00C2689A">
      <w:trPr>
        <w:trHeight w:val="555"/>
      </w:trPr>
      <w:tc>
        <w:tcPr>
          <w:tcW w:w="3510" w:type="dxa"/>
          <w:tcBorders>
            <w:top w:val="single" w:sz="4" w:space="0" w:color="000000"/>
          </w:tcBorders>
        </w:tcPr>
        <w:p w14:paraId="2425E159" w14:textId="77777777" w:rsidR="00000000" w:rsidRPr="00893870" w:rsidRDefault="00000000" w:rsidP="0067038A">
          <w:pPr>
            <w:pStyle w:val="BasicParagraph"/>
            <w:widowControl w:val="0"/>
            <w:spacing w:line="240" w:lineRule="auto"/>
            <w:rPr>
              <w:rFonts w:ascii="GoodPro-Medium" w:hAnsi="GoodPro-Medium" w:cs="GoodPro-Medium"/>
            </w:rPr>
          </w:pPr>
          <w:r>
            <w:t>MAQO Ltd</w:t>
          </w:r>
        </w:p>
      </w:tc>
      <w:tc>
        <w:tcPr>
          <w:tcW w:w="3781" w:type="dxa"/>
          <w:tcBorders>
            <w:top w:val="single" w:sz="4" w:space="0" w:color="000000"/>
          </w:tcBorders>
        </w:tcPr>
        <w:p w14:paraId="5C42D2CB" w14:textId="77777777" w:rsidR="00000000" w:rsidRDefault="00000000" w:rsidP="0067038A">
          <w:pPr>
            <w:pStyle w:val="BasicParagraph"/>
            <w:widowControl w:val="0"/>
            <w:spacing w:line="240" w:lineRule="auto"/>
          </w:pPr>
          <w:r w:rsidRPr="008F17DA">
            <w:rPr>
              <w:highlight w:val="yellow"/>
            </w:rPr>
            <w:br/>
          </w:r>
          <w:r w:rsidRPr="008B26D1">
            <w:t>Z05T3F</w:t>
          </w:r>
          <w:r>
            <w:t>6</w:t>
          </w:r>
          <w:r w:rsidRPr="008B26D1">
            <w:t xml:space="preserve">, Kazakhstan, Astana, </w:t>
          </w:r>
        </w:p>
        <w:p w14:paraId="0A9DB02F" w14:textId="77777777" w:rsidR="00000000" w:rsidRPr="008F17DA" w:rsidRDefault="00000000" w:rsidP="0067038A">
          <w:pPr>
            <w:pStyle w:val="BasicParagraph"/>
            <w:widowControl w:val="0"/>
            <w:spacing w:line="240" w:lineRule="auto"/>
            <w:rPr>
              <w:highlight w:val="yellow"/>
            </w:rPr>
          </w:pPr>
          <w:r w:rsidRPr="00A12BDD">
            <w:t xml:space="preserve">55/23 </w:t>
          </w:r>
          <w:proofErr w:type="spellStart"/>
          <w:r w:rsidRPr="00A12BDD">
            <w:t>Mangilik</w:t>
          </w:r>
          <w:proofErr w:type="spellEnd"/>
          <w:r w:rsidRPr="00A12BDD">
            <w:t xml:space="preserve"> El, office 345</w:t>
          </w:r>
        </w:p>
      </w:tc>
      <w:tc>
        <w:tcPr>
          <w:tcW w:w="2347" w:type="dxa"/>
          <w:tcBorders>
            <w:top w:val="single" w:sz="4" w:space="0" w:color="000000"/>
          </w:tcBorders>
        </w:tcPr>
        <w:p w14:paraId="5E7CA6E8" w14:textId="77777777" w:rsidR="00000000" w:rsidRDefault="00000000" w:rsidP="0067038A">
          <w:pPr>
            <w:pStyle w:val="BasicParagraph"/>
            <w:widowControl w:val="0"/>
            <w:spacing w:line="240" w:lineRule="auto"/>
          </w:pPr>
          <w:bookmarkStart w:id="179" w:name="_Hlk141043083"/>
          <w:r>
            <w:br/>
          </w:r>
          <w:proofErr w:type="spellStart"/>
          <w:r>
            <w:t>tel</w:t>
          </w:r>
          <w:proofErr w:type="spellEnd"/>
          <w:r>
            <w:t xml:space="preserve">: </w:t>
          </w:r>
          <w:r w:rsidRPr="00147F27">
            <w:t>+7</w:t>
          </w:r>
          <w:r>
            <w:t xml:space="preserve"> (</w:t>
          </w:r>
          <w:r w:rsidRPr="00692310">
            <w:t>771</w:t>
          </w:r>
          <w:r>
            <w:t xml:space="preserve">) </w:t>
          </w:r>
          <w:r w:rsidRPr="00692310">
            <w:t>929</w:t>
          </w:r>
          <w:r>
            <w:t> </w:t>
          </w:r>
          <w:r w:rsidRPr="00692310">
            <w:t>02</w:t>
          </w:r>
          <w:r>
            <w:t> </w:t>
          </w:r>
          <w:r w:rsidRPr="00692310">
            <w:t>08</w:t>
          </w:r>
        </w:p>
        <w:p w14:paraId="6F1BF615" w14:textId="77777777" w:rsidR="00000000" w:rsidRDefault="00000000" w:rsidP="0067038A">
          <w:pPr>
            <w:pStyle w:val="BasicParagraph"/>
            <w:widowControl w:val="0"/>
            <w:spacing w:line="240" w:lineRule="auto"/>
          </w:pPr>
          <w:r>
            <w:t>www.maqo.</w:t>
          </w:r>
          <w:bookmarkEnd w:id="179"/>
          <w:r>
            <w:t>kz</w:t>
          </w:r>
        </w:p>
      </w:tc>
    </w:tr>
  </w:tbl>
  <w:p w14:paraId="40C9D7BF" w14:textId="77777777" w:rsidR="00000000" w:rsidRPr="00AA10E6" w:rsidRDefault="00000000">
    <w:pPr>
      <w:rPr>
        <w:rFonts w:ascii="Arial" w:hAnsi="Arial"/>
      </w:rPr>
    </w:pPr>
    <w:r>
      <w:rPr>
        <w:noProof/>
      </w:rPr>
      <w:drawing>
        <wp:anchor distT="0" distB="0" distL="114300" distR="114300" simplePos="0" relativeHeight="251658240" behindDoc="1" locked="0" layoutInCell="1" allowOverlap="1" wp14:anchorId="7B957EC4" wp14:editId="269DA52B">
          <wp:simplePos x="0" y="0"/>
          <wp:positionH relativeFrom="page">
            <wp:posOffset>0</wp:posOffset>
          </wp:positionH>
          <wp:positionV relativeFrom="page">
            <wp:posOffset>1542</wp:posOffset>
          </wp:positionV>
          <wp:extent cx="7560000" cy="10692000"/>
          <wp:effectExtent l="0" t="0" r="3175" b="0"/>
          <wp:wrapNone/>
          <wp:docPr id="161026440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614403" name="Рисунок 1109614403"/>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1A669B0C" w14:textId="77777777" w:rsidR="00000000" w:rsidRPr="00AA10E6" w:rsidRDefault="00000000">
    <w:pPr>
      <w:rPr>
        <w:rFonts w:ascii="Arial" w:hAnsi="Arial"/>
      </w:rPr>
    </w:pPr>
  </w:p>
  <w:p w14:paraId="6D56DAF9" w14:textId="77777777" w:rsidR="00000000" w:rsidRPr="00AA10E6" w:rsidRDefault="00000000" w:rsidP="00732DE4">
    <w:pP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8132A" w14:textId="77777777" w:rsidR="000339BA" w:rsidRDefault="000339BA" w:rsidP="004A438E">
      <w:r>
        <w:separator/>
      </w:r>
    </w:p>
  </w:footnote>
  <w:footnote w:type="continuationSeparator" w:id="0">
    <w:p w14:paraId="31D625B7" w14:textId="77777777" w:rsidR="000339BA" w:rsidRDefault="000339BA" w:rsidP="004A438E">
      <w:r>
        <w:continuationSeparator/>
      </w:r>
    </w:p>
  </w:footnote>
  <w:footnote w:type="continuationNotice" w:id="1">
    <w:p w14:paraId="46F788F4" w14:textId="77777777" w:rsidR="000339BA" w:rsidRDefault="000339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3EF52"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8C0AE" w14:textId="75FCD476" w:rsidR="00000000" w:rsidRDefault="00000000"/>
  <w:p w14:paraId="1C79508D"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B13F9"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A135B"/>
    <w:multiLevelType w:val="multilevel"/>
    <w:tmpl w:val="858AA88C"/>
    <w:lvl w:ilvl="0">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A73FFD"/>
    <w:multiLevelType w:val="hybridMultilevel"/>
    <w:tmpl w:val="63BCBA54"/>
    <w:lvl w:ilvl="0" w:tplc="DF381DA2">
      <w:start w:val="1"/>
      <w:numFmt w:val="decimal"/>
      <w:lvlText w:val="%1."/>
      <w:lvlJc w:val="left"/>
      <w:pPr>
        <w:ind w:left="720" w:hanging="360"/>
      </w:pPr>
      <w:rPr>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AE1545"/>
    <w:multiLevelType w:val="multilevel"/>
    <w:tmpl w:val="44A84324"/>
    <w:lvl w:ilvl="0">
      <w:start w:val="1000"/>
      <w:numFmt w:val="bullet"/>
      <w:lvlText w:val=""/>
      <w:lvlJc w:val="left"/>
      <w:pPr>
        <w:tabs>
          <w:tab w:val="num" w:pos="0"/>
        </w:tabs>
        <w:ind w:left="360" w:hanging="360"/>
      </w:pPr>
      <w:rPr>
        <w:rFonts w:ascii="Symbol" w:hAnsi="Symbol" w:cs="Symbol" w:hint="default"/>
        <w:lang w:val="en-U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7A0084E"/>
    <w:multiLevelType w:val="multilevel"/>
    <w:tmpl w:val="35BE17C6"/>
    <w:lvl w:ilvl="0">
      <w:start w:val="1"/>
      <w:numFmt w:val="decimal"/>
      <w:pStyle w:val="2"/>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CD4190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401451"/>
    <w:multiLevelType w:val="multilevel"/>
    <w:tmpl w:val="2FD44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D432B7"/>
    <w:multiLevelType w:val="multilevel"/>
    <w:tmpl w:val="C9E2566A"/>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D6D0439"/>
    <w:multiLevelType w:val="multilevel"/>
    <w:tmpl w:val="CCB85286"/>
    <w:lvl w:ilvl="0">
      <w:start w:val="3"/>
      <w:numFmt w:val="decimal"/>
      <w:lvlText w:val="%1."/>
      <w:lvlJc w:val="left"/>
      <w:pPr>
        <w:ind w:left="360" w:hanging="360"/>
      </w:pPr>
      <w:rPr>
        <w:rFonts w:hint="default"/>
      </w:rPr>
    </w:lvl>
    <w:lvl w:ilvl="1">
      <w:start w:val="1"/>
      <w:numFmt w:val="decimal"/>
      <w:pStyle w:val="3"/>
      <w:lvlText w:val="%1.%2."/>
      <w:lvlJc w:val="left"/>
      <w:pPr>
        <w:ind w:left="1080" w:hanging="72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9C227D9"/>
    <w:multiLevelType w:val="multilevel"/>
    <w:tmpl w:val="DBCCC0EE"/>
    <w:lvl w:ilvl="0">
      <w:start w:val="8"/>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8747429"/>
    <w:multiLevelType w:val="multilevel"/>
    <w:tmpl w:val="22D6EAAA"/>
    <w:lvl w:ilvl="0">
      <w:start w:val="1000"/>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6A5A3E6C"/>
    <w:multiLevelType w:val="hybridMultilevel"/>
    <w:tmpl w:val="D4B4AB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54C2CAA"/>
    <w:multiLevelType w:val="hybridMultilevel"/>
    <w:tmpl w:val="44C2368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76020510"/>
    <w:multiLevelType w:val="multilevel"/>
    <w:tmpl w:val="F298598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743216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90049D0"/>
    <w:multiLevelType w:val="hybridMultilevel"/>
    <w:tmpl w:val="D74CF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43229B"/>
    <w:multiLevelType w:val="multilevel"/>
    <w:tmpl w:val="B6264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8930BC"/>
    <w:multiLevelType w:val="multilevel"/>
    <w:tmpl w:val="C6309488"/>
    <w:lvl w:ilvl="0">
      <w:start w:val="1"/>
      <w:numFmt w:val="decimal"/>
      <w:lvlText w:val="%1."/>
      <w:lvlJc w:val="left"/>
      <w:pPr>
        <w:tabs>
          <w:tab w:val="num" w:pos="0"/>
        </w:tabs>
        <w:ind w:left="360" w:hanging="360"/>
      </w:pPr>
      <w:rPr>
        <w:rFonts w:ascii="Times New Roman" w:hAnsi="Times New Roman" w:cs="Times New Roman"/>
        <w:b/>
        <w:i w:val="0"/>
        <w:sz w:val="24"/>
        <w:szCs w:val="24"/>
      </w:rPr>
    </w:lvl>
    <w:lvl w:ilvl="1">
      <w:start w:val="1"/>
      <w:numFmt w:val="decimal"/>
      <w:lvlText w:val="%1.%2."/>
      <w:lvlJc w:val="left"/>
      <w:pPr>
        <w:tabs>
          <w:tab w:val="num" w:pos="5451"/>
        </w:tabs>
        <w:ind w:left="5463" w:hanging="360"/>
      </w:pPr>
      <w:rPr>
        <w:rFonts w:ascii="Times New Roman" w:hAnsi="Times New Roman" w:cs="Times New Roman"/>
        <w:b/>
        <w:i w:val="0"/>
      </w:rPr>
    </w:lvl>
    <w:lvl w:ilvl="2">
      <w:start w:val="1"/>
      <w:numFmt w:val="decimal"/>
      <w:lvlText w:val="%1.%2.%3."/>
      <w:lvlJc w:val="left"/>
      <w:pPr>
        <w:tabs>
          <w:tab w:val="num" w:pos="0"/>
        </w:tabs>
        <w:ind w:left="1440" w:hanging="720"/>
      </w:pPr>
      <w:rPr>
        <w:rFonts w:cs="Arial"/>
        <w:b/>
        <w:i w:val="0"/>
      </w:rPr>
    </w:lvl>
    <w:lvl w:ilvl="3">
      <w:start w:val="1"/>
      <w:numFmt w:val="decimal"/>
      <w:lvlText w:val="%1.%2.%3.%4."/>
      <w:lvlJc w:val="left"/>
      <w:pPr>
        <w:tabs>
          <w:tab w:val="num" w:pos="0"/>
        </w:tabs>
        <w:ind w:left="1800" w:hanging="720"/>
      </w:pPr>
      <w:rPr>
        <w:rFonts w:cs="Arial"/>
        <w:b/>
        <w:i/>
      </w:rPr>
    </w:lvl>
    <w:lvl w:ilvl="4">
      <w:start w:val="1"/>
      <w:numFmt w:val="decimal"/>
      <w:lvlText w:val="%1.%2.%3.%4.%5."/>
      <w:lvlJc w:val="left"/>
      <w:pPr>
        <w:tabs>
          <w:tab w:val="num" w:pos="0"/>
        </w:tabs>
        <w:ind w:left="2520" w:hanging="1080"/>
      </w:pPr>
      <w:rPr>
        <w:rFonts w:cs="Arial"/>
        <w:b/>
        <w:i/>
      </w:rPr>
    </w:lvl>
    <w:lvl w:ilvl="5">
      <w:start w:val="1"/>
      <w:numFmt w:val="decimal"/>
      <w:lvlText w:val="%1.%2.%3.%4.%5.%6."/>
      <w:lvlJc w:val="left"/>
      <w:pPr>
        <w:tabs>
          <w:tab w:val="num" w:pos="0"/>
        </w:tabs>
        <w:ind w:left="2880" w:hanging="1080"/>
      </w:pPr>
      <w:rPr>
        <w:rFonts w:cs="Arial"/>
        <w:b/>
        <w:i/>
      </w:rPr>
    </w:lvl>
    <w:lvl w:ilvl="6">
      <w:start w:val="1"/>
      <w:numFmt w:val="decimal"/>
      <w:lvlText w:val="%1.%2.%3.%4.%5.%6.%7."/>
      <w:lvlJc w:val="left"/>
      <w:pPr>
        <w:tabs>
          <w:tab w:val="num" w:pos="0"/>
        </w:tabs>
        <w:ind w:left="3600" w:hanging="1440"/>
      </w:pPr>
      <w:rPr>
        <w:rFonts w:cs="Arial"/>
        <w:b/>
        <w:i/>
      </w:rPr>
    </w:lvl>
    <w:lvl w:ilvl="7">
      <w:start w:val="1"/>
      <w:numFmt w:val="decimal"/>
      <w:lvlText w:val="%1.%2.%3.%4.%5.%6.%7.%8."/>
      <w:lvlJc w:val="left"/>
      <w:pPr>
        <w:tabs>
          <w:tab w:val="num" w:pos="0"/>
        </w:tabs>
        <w:ind w:left="3960" w:hanging="1440"/>
      </w:pPr>
      <w:rPr>
        <w:rFonts w:cs="Arial"/>
        <w:b/>
        <w:i/>
      </w:rPr>
    </w:lvl>
    <w:lvl w:ilvl="8">
      <w:start w:val="1"/>
      <w:numFmt w:val="decimal"/>
      <w:lvlText w:val="%1.%2.%3.%4.%5.%6.%7.%8.%9."/>
      <w:lvlJc w:val="left"/>
      <w:pPr>
        <w:tabs>
          <w:tab w:val="num" w:pos="0"/>
        </w:tabs>
        <w:ind w:left="4680" w:hanging="1800"/>
      </w:pPr>
      <w:rPr>
        <w:rFonts w:cs="Arial"/>
        <w:b/>
        <w:i/>
      </w:rPr>
    </w:lvl>
  </w:abstractNum>
  <w:num w:numId="1" w16cid:durableId="1920216327">
    <w:abstractNumId w:val="5"/>
  </w:num>
  <w:num w:numId="2" w16cid:durableId="807865533">
    <w:abstractNumId w:val="15"/>
  </w:num>
  <w:num w:numId="3" w16cid:durableId="1291744650">
    <w:abstractNumId w:val="14"/>
  </w:num>
  <w:num w:numId="4" w16cid:durableId="57441677">
    <w:abstractNumId w:val="10"/>
  </w:num>
  <w:num w:numId="5" w16cid:durableId="1555239630">
    <w:abstractNumId w:val="9"/>
  </w:num>
  <w:num w:numId="6" w16cid:durableId="1826314893">
    <w:abstractNumId w:val="2"/>
  </w:num>
  <w:num w:numId="7" w16cid:durableId="2071879351">
    <w:abstractNumId w:val="16"/>
  </w:num>
  <w:num w:numId="8" w16cid:durableId="190267131">
    <w:abstractNumId w:val="11"/>
  </w:num>
  <w:num w:numId="9" w16cid:durableId="1832482090">
    <w:abstractNumId w:val="1"/>
  </w:num>
  <w:num w:numId="10" w16cid:durableId="2096701858">
    <w:abstractNumId w:val="13"/>
  </w:num>
  <w:num w:numId="11" w16cid:durableId="487598032">
    <w:abstractNumId w:val="4"/>
  </w:num>
  <w:num w:numId="12" w16cid:durableId="8214985">
    <w:abstractNumId w:val="6"/>
  </w:num>
  <w:num w:numId="13" w16cid:durableId="188884470">
    <w:abstractNumId w:val="8"/>
  </w:num>
  <w:num w:numId="14" w16cid:durableId="2038239673">
    <w:abstractNumId w:val="3"/>
  </w:num>
  <w:num w:numId="15" w16cid:durableId="729231171">
    <w:abstractNumId w:val="7"/>
  </w:num>
  <w:num w:numId="16" w16cid:durableId="198554431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7788788">
    <w:abstractNumId w:val="12"/>
  </w:num>
  <w:num w:numId="18" w16cid:durableId="2126653916">
    <w:abstractNumId w:val="7"/>
  </w:num>
  <w:num w:numId="19" w16cid:durableId="5728553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7641917">
    <w:abstractNumId w:val="7"/>
  </w:num>
  <w:num w:numId="21" w16cid:durableId="24438872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37417636">
    <w:abstractNumId w:val="7"/>
  </w:num>
  <w:num w:numId="23" w16cid:durableId="920531541">
    <w:abstractNumId w:val="7"/>
  </w:num>
  <w:num w:numId="24" w16cid:durableId="4562245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5213493">
    <w:abstractNumId w:val="0"/>
  </w:num>
  <w:num w:numId="26" w16cid:durableId="8389265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4E9"/>
    <w:rsid w:val="00002EC0"/>
    <w:rsid w:val="000129E4"/>
    <w:rsid w:val="00013B99"/>
    <w:rsid w:val="00024645"/>
    <w:rsid w:val="00031AAA"/>
    <w:rsid w:val="000339BA"/>
    <w:rsid w:val="000424B2"/>
    <w:rsid w:val="00053AB7"/>
    <w:rsid w:val="00056E38"/>
    <w:rsid w:val="00066F4E"/>
    <w:rsid w:val="00081774"/>
    <w:rsid w:val="00084594"/>
    <w:rsid w:val="00092680"/>
    <w:rsid w:val="000948C5"/>
    <w:rsid w:val="000A27D8"/>
    <w:rsid w:val="000A3256"/>
    <w:rsid w:val="000A3AB1"/>
    <w:rsid w:val="000C571C"/>
    <w:rsid w:val="000D3AB6"/>
    <w:rsid w:val="000D6E1E"/>
    <w:rsid w:val="000E6FB2"/>
    <w:rsid w:val="00110C60"/>
    <w:rsid w:val="00144325"/>
    <w:rsid w:val="00147F27"/>
    <w:rsid w:val="00163E0D"/>
    <w:rsid w:val="00173CF1"/>
    <w:rsid w:val="00173D47"/>
    <w:rsid w:val="0018609C"/>
    <w:rsid w:val="00186A9D"/>
    <w:rsid w:val="001A1F90"/>
    <w:rsid w:val="001B5C3F"/>
    <w:rsid w:val="001B7B13"/>
    <w:rsid w:val="001C2740"/>
    <w:rsid w:val="001D3BD9"/>
    <w:rsid w:val="001D70CB"/>
    <w:rsid w:val="001E1B04"/>
    <w:rsid w:val="00201002"/>
    <w:rsid w:val="00203BDB"/>
    <w:rsid w:val="00234FA7"/>
    <w:rsid w:val="00242F4F"/>
    <w:rsid w:val="00247958"/>
    <w:rsid w:val="002505B2"/>
    <w:rsid w:val="0025094B"/>
    <w:rsid w:val="00254289"/>
    <w:rsid w:val="0025663B"/>
    <w:rsid w:val="00257184"/>
    <w:rsid w:val="00265048"/>
    <w:rsid w:val="00283713"/>
    <w:rsid w:val="002A3782"/>
    <w:rsid w:val="002A7497"/>
    <w:rsid w:val="002B1634"/>
    <w:rsid w:val="002B37FE"/>
    <w:rsid w:val="002E0699"/>
    <w:rsid w:val="002F0C85"/>
    <w:rsid w:val="002F2D3A"/>
    <w:rsid w:val="002F401C"/>
    <w:rsid w:val="00320E6D"/>
    <w:rsid w:val="00326427"/>
    <w:rsid w:val="0033531A"/>
    <w:rsid w:val="00344DDA"/>
    <w:rsid w:val="00387A71"/>
    <w:rsid w:val="003971BE"/>
    <w:rsid w:val="003A76E4"/>
    <w:rsid w:val="003B3009"/>
    <w:rsid w:val="003B5B91"/>
    <w:rsid w:val="003C57A4"/>
    <w:rsid w:val="003D396A"/>
    <w:rsid w:val="003D40BE"/>
    <w:rsid w:val="003D4BA4"/>
    <w:rsid w:val="004028E4"/>
    <w:rsid w:val="00411A65"/>
    <w:rsid w:val="00427879"/>
    <w:rsid w:val="004334B3"/>
    <w:rsid w:val="00435FBB"/>
    <w:rsid w:val="004437B8"/>
    <w:rsid w:val="004523B2"/>
    <w:rsid w:val="00455A96"/>
    <w:rsid w:val="004A438E"/>
    <w:rsid w:val="004A5E97"/>
    <w:rsid w:val="004B13D4"/>
    <w:rsid w:val="004C36B8"/>
    <w:rsid w:val="004D12BC"/>
    <w:rsid w:val="004D70DE"/>
    <w:rsid w:val="004F0F8B"/>
    <w:rsid w:val="00506C0D"/>
    <w:rsid w:val="00510D68"/>
    <w:rsid w:val="005124C9"/>
    <w:rsid w:val="00531860"/>
    <w:rsid w:val="00536578"/>
    <w:rsid w:val="005509BA"/>
    <w:rsid w:val="00557ACB"/>
    <w:rsid w:val="00563D3D"/>
    <w:rsid w:val="005743EB"/>
    <w:rsid w:val="00582E67"/>
    <w:rsid w:val="00584A73"/>
    <w:rsid w:val="0059162F"/>
    <w:rsid w:val="00597794"/>
    <w:rsid w:val="005A44E6"/>
    <w:rsid w:val="005B4829"/>
    <w:rsid w:val="005B5C70"/>
    <w:rsid w:val="005D512A"/>
    <w:rsid w:val="005E097A"/>
    <w:rsid w:val="005E5753"/>
    <w:rsid w:val="005E5D4D"/>
    <w:rsid w:val="005F05D7"/>
    <w:rsid w:val="00610D9B"/>
    <w:rsid w:val="0061587B"/>
    <w:rsid w:val="006168E6"/>
    <w:rsid w:val="0062326D"/>
    <w:rsid w:val="00624985"/>
    <w:rsid w:val="00636D89"/>
    <w:rsid w:val="00652918"/>
    <w:rsid w:val="00655CDF"/>
    <w:rsid w:val="00672F31"/>
    <w:rsid w:val="00677246"/>
    <w:rsid w:val="0068204A"/>
    <w:rsid w:val="00692174"/>
    <w:rsid w:val="006A68FD"/>
    <w:rsid w:val="006B45EE"/>
    <w:rsid w:val="006E7F8D"/>
    <w:rsid w:val="006F0D73"/>
    <w:rsid w:val="0073461C"/>
    <w:rsid w:val="00734A0D"/>
    <w:rsid w:val="00734B4B"/>
    <w:rsid w:val="00761998"/>
    <w:rsid w:val="00765787"/>
    <w:rsid w:val="007723D3"/>
    <w:rsid w:val="00773554"/>
    <w:rsid w:val="00790D0C"/>
    <w:rsid w:val="007A05A2"/>
    <w:rsid w:val="007A6102"/>
    <w:rsid w:val="007B1EFB"/>
    <w:rsid w:val="007B686F"/>
    <w:rsid w:val="007C2DF5"/>
    <w:rsid w:val="007C699D"/>
    <w:rsid w:val="007D3FED"/>
    <w:rsid w:val="007F2A32"/>
    <w:rsid w:val="008024BA"/>
    <w:rsid w:val="00805DF4"/>
    <w:rsid w:val="00810E29"/>
    <w:rsid w:val="008122D3"/>
    <w:rsid w:val="008140F9"/>
    <w:rsid w:val="0081602D"/>
    <w:rsid w:val="00837648"/>
    <w:rsid w:val="008534A5"/>
    <w:rsid w:val="00875AB6"/>
    <w:rsid w:val="00875C5F"/>
    <w:rsid w:val="008822D2"/>
    <w:rsid w:val="00886F84"/>
    <w:rsid w:val="008933A7"/>
    <w:rsid w:val="00893870"/>
    <w:rsid w:val="008946A0"/>
    <w:rsid w:val="008A5ADB"/>
    <w:rsid w:val="008B26D1"/>
    <w:rsid w:val="008B4E0B"/>
    <w:rsid w:val="008C6BF9"/>
    <w:rsid w:val="008D05CC"/>
    <w:rsid w:val="008F09A7"/>
    <w:rsid w:val="008F109E"/>
    <w:rsid w:val="008F17DA"/>
    <w:rsid w:val="00905820"/>
    <w:rsid w:val="009247BF"/>
    <w:rsid w:val="0092506D"/>
    <w:rsid w:val="009260D2"/>
    <w:rsid w:val="009316FD"/>
    <w:rsid w:val="009331D5"/>
    <w:rsid w:val="0093341D"/>
    <w:rsid w:val="00954A44"/>
    <w:rsid w:val="00954B89"/>
    <w:rsid w:val="00954C61"/>
    <w:rsid w:val="009606C8"/>
    <w:rsid w:val="0098288D"/>
    <w:rsid w:val="00984775"/>
    <w:rsid w:val="009C37C0"/>
    <w:rsid w:val="009C575F"/>
    <w:rsid w:val="009C66A5"/>
    <w:rsid w:val="009D33F3"/>
    <w:rsid w:val="009D74FC"/>
    <w:rsid w:val="00A000B1"/>
    <w:rsid w:val="00A020F2"/>
    <w:rsid w:val="00A24B18"/>
    <w:rsid w:val="00A24F38"/>
    <w:rsid w:val="00A2596A"/>
    <w:rsid w:val="00A332CE"/>
    <w:rsid w:val="00A47D86"/>
    <w:rsid w:val="00A552EC"/>
    <w:rsid w:val="00A743E7"/>
    <w:rsid w:val="00A74B80"/>
    <w:rsid w:val="00A94D28"/>
    <w:rsid w:val="00AC072D"/>
    <w:rsid w:val="00AD35A5"/>
    <w:rsid w:val="00AE7C1C"/>
    <w:rsid w:val="00B20C5E"/>
    <w:rsid w:val="00B239C5"/>
    <w:rsid w:val="00B47818"/>
    <w:rsid w:val="00B47A8A"/>
    <w:rsid w:val="00B61CA8"/>
    <w:rsid w:val="00B66BA5"/>
    <w:rsid w:val="00B6730C"/>
    <w:rsid w:val="00B7045B"/>
    <w:rsid w:val="00B75336"/>
    <w:rsid w:val="00B90646"/>
    <w:rsid w:val="00BA2F6F"/>
    <w:rsid w:val="00BB3982"/>
    <w:rsid w:val="00BF7552"/>
    <w:rsid w:val="00C022B9"/>
    <w:rsid w:val="00C219B7"/>
    <w:rsid w:val="00C33A9D"/>
    <w:rsid w:val="00C47FD1"/>
    <w:rsid w:val="00C527BB"/>
    <w:rsid w:val="00C652CB"/>
    <w:rsid w:val="00C80EB1"/>
    <w:rsid w:val="00C841AA"/>
    <w:rsid w:val="00CA340C"/>
    <w:rsid w:val="00CA4DB1"/>
    <w:rsid w:val="00CB22D5"/>
    <w:rsid w:val="00CC200C"/>
    <w:rsid w:val="00CD2969"/>
    <w:rsid w:val="00CE434B"/>
    <w:rsid w:val="00CE47CD"/>
    <w:rsid w:val="00CE6F75"/>
    <w:rsid w:val="00CF1B2C"/>
    <w:rsid w:val="00D10782"/>
    <w:rsid w:val="00D112FC"/>
    <w:rsid w:val="00D404E9"/>
    <w:rsid w:val="00D444D5"/>
    <w:rsid w:val="00D54A95"/>
    <w:rsid w:val="00D54C60"/>
    <w:rsid w:val="00D61996"/>
    <w:rsid w:val="00D66746"/>
    <w:rsid w:val="00D77894"/>
    <w:rsid w:val="00D80DF3"/>
    <w:rsid w:val="00D81AB3"/>
    <w:rsid w:val="00D82689"/>
    <w:rsid w:val="00D912D6"/>
    <w:rsid w:val="00DA192B"/>
    <w:rsid w:val="00DA7282"/>
    <w:rsid w:val="00DB0B33"/>
    <w:rsid w:val="00DB2F2D"/>
    <w:rsid w:val="00DB5FB5"/>
    <w:rsid w:val="00DC6E22"/>
    <w:rsid w:val="00DD0412"/>
    <w:rsid w:val="00DD451F"/>
    <w:rsid w:val="00DD6D50"/>
    <w:rsid w:val="00DE37B0"/>
    <w:rsid w:val="00DF55A8"/>
    <w:rsid w:val="00E0381A"/>
    <w:rsid w:val="00E06286"/>
    <w:rsid w:val="00E26B15"/>
    <w:rsid w:val="00E278EF"/>
    <w:rsid w:val="00E50259"/>
    <w:rsid w:val="00E60DA5"/>
    <w:rsid w:val="00EA2499"/>
    <w:rsid w:val="00EC2345"/>
    <w:rsid w:val="00ED034A"/>
    <w:rsid w:val="00ED1DCD"/>
    <w:rsid w:val="00EE1373"/>
    <w:rsid w:val="00EE4CD5"/>
    <w:rsid w:val="00EF547E"/>
    <w:rsid w:val="00F3242C"/>
    <w:rsid w:val="00F3638E"/>
    <w:rsid w:val="00F37ECE"/>
    <w:rsid w:val="00F44AF1"/>
    <w:rsid w:val="00F459AB"/>
    <w:rsid w:val="00F50149"/>
    <w:rsid w:val="00F5064E"/>
    <w:rsid w:val="00F530E8"/>
    <w:rsid w:val="00F62AD2"/>
    <w:rsid w:val="00F878EC"/>
    <w:rsid w:val="00F94680"/>
    <w:rsid w:val="00F956C3"/>
    <w:rsid w:val="00FA79EA"/>
    <w:rsid w:val="00FB2FCA"/>
    <w:rsid w:val="00FB6F3D"/>
    <w:rsid w:val="00FD279F"/>
    <w:rsid w:val="00FD2E7E"/>
    <w:rsid w:val="00FD424D"/>
    <w:rsid w:val="00FE2F0C"/>
    <w:rsid w:val="00FF627B"/>
    <w:rsid w:val="0D2808CE"/>
    <w:rsid w:val="11E455E2"/>
    <w:rsid w:val="1651D935"/>
    <w:rsid w:val="1E437DE0"/>
    <w:rsid w:val="4169BED5"/>
    <w:rsid w:val="5024294E"/>
    <w:rsid w:val="5240F341"/>
    <w:rsid w:val="556F8B03"/>
    <w:rsid w:val="55B75DC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FDC9B"/>
  <w15:docId w15:val="{1B6532FF-1303-ED4A-8896-3E68E9648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38E"/>
    <w:pPr>
      <w:widowControl w:val="0"/>
    </w:pPr>
    <w:rPr>
      <w:rFonts w:ascii="Aptos" w:eastAsia="Arial" w:hAnsi="Aptos" w:cs="Arial"/>
    </w:rPr>
  </w:style>
  <w:style w:type="paragraph" w:styleId="1">
    <w:name w:val="heading 1"/>
    <w:basedOn w:val="a"/>
    <w:link w:val="10"/>
    <w:uiPriority w:val="9"/>
    <w:qFormat/>
    <w:rsid w:val="00D82689"/>
    <w:pPr>
      <w:keepNext/>
      <w:keepLines/>
      <w:widowControl/>
      <w:spacing w:before="120" w:after="120"/>
      <w:jc w:val="center"/>
      <w:outlineLvl w:val="0"/>
    </w:pPr>
    <w:rPr>
      <w:rFonts w:eastAsiaTheme="majorEastAsia" w:cstheme="majorBidi"/>
      <w:b/>
      <w:bCs/>
      <w:color w:val="365F91" w:themeColor="accent1" w:themeShade="BF"/>
      <w:sz w:val="28"/>
      <w:szCs w:val="28"/>
      <w:lang w:val="ru-RU" w:eastAsia="zh-CN"/>
    </w:rPr>
  </w:style>
  <w:style w:type="paragraph" w:styleId="2">
    <w:name w:val="heading 2"/>
    <w:basedOn w:val="a"/>
    <w:next w:val="a"/>
    <w:link w:val="20"/>
    <w:uiPriority w:val="9"/>
    <w:unhideWhenUsed/>
    <w:qFormat/>
    <w:rsid w:val="004A438E"/>
    <w:pPr>
      <w:keepNext/>
      <w:keepLines/>
      <w:numPr>
        <w:numId w:val="14"/>
      </w:numPr>
      <w:spacing w:before="120" w:after="120"/>
      <w:ind w:left="714" w:hanging="357"/>
      <w:outlineLvl w:val="1"/>
    </w:pPr>
    <w:rPr>
      <w:rFonts w:eastAsiaTheme="majorEastAsia" w:cstheme="majorBidi"/>
      <w:b/>
      <w:bCs/>
      <w:color w:val="365F91" w:themeColor="accent1" w:themeShade="BF"/>
      <w:sz w:val="26"/>
      <w:szCs w:val="26"/>
    </w:rPr>
  </w:style>
  <w:style w:type="paragraph" w:styleId="3">
    <w:name w:val="heading 3"/>
    <w:basedOn w:val="a"/>
    <w:next w:val="a"/>
    <w:link w:val="30"/>
    <w:uiPriority w:val="9"/>
    <w:unhideWhenUsed/>
    <w:qFormat/>
    <w:rsid w:val="004A438E"/>
    <w:pPr>
      <w:keepNext/>
      <w:keepLines/>
      <w:numPr>
        <w:ilvl w:val="1"/>
        <w:numId w:val="15"/>
      </w:numPr>
      <w:spacing w:before="120" w:after="120"/>
      <w:jc w:val="both"/>
      <w:outlineLvl w:val="2"/>
    </w:pPr>
    <w:rPr>
      <w:rFonts w:eastAsiaTheme="majorEastAsia"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0944AA"/>
    <w:rPr>
      <w:rFonts w:ascii="Arial" w:eastAsia="Arial" w:hAnsi="Arial" w:cs="Arial"/>
    </w:rPr>
  </w:style>
  <w:style w:type="character" w:customStyle="1" w:styleId="a5">
    <w:name w:val="Нижний колонтитул Знак"/>
    <w:basedOn w:val="a0"/>
    <w:link w:val="a6"/>
    <w:uiPriority w:val="99"/>
    <w:qFormat/>
    <w:rsid w:val="000944AA"/>
    <w:rPr>
      <w:rFonts w:ascii="Arial" w:eastAsia="Arial" w:hAnsi="Arial" w:cs="Arial"/>
    </w:rPr>
  </w:style>
  <w:style w:type="character" w:customStyle="1" w:styleId="CharacterStyle1">
    <w:name w:val="Character Style 1"/>
    <w:uiPriority w:val="99"/>
    <w:qFormat/>
    <w:rsid w:val="000944AA"/>
    <w:rPr>
      <w:rFonts w:ascii="GoodPro-Medium" w:hAnsi="GoodPro-Medium" w:cs="GoodPro-Medium"/>
    </w:rPr>
  </w:style>
  <w:style w:type="paragraph" w:customStyle="1" w:styleId="Heading">
    <w:name w:val="Heading"/>
    <w:basedOn w:val="a"/>
    <w:next w:val="a7"/>
    <w:qFormat/>
    <w:rsid w:val="00D82689"/>
    <w:pPr>
      <w:keepNext/>
      <w:spacing w:before="240" w:after="120"/>
      <w:jc w:val="center"/>
    </w:pPr>
    <w:rPr>
      <w:rFonts w:eastAsia="Noto Sans CJK SC" w:cs="Lohit Devanagari"/>
      <w:b/>
      <w:bCs/>
      <w:sz w:val="28"/>
      <w:szCs w:val="26"/>
    </w:rPr>
  </w:style>
  <w:style w:type="paragraph" w:styleId="a7">
    <w:name w:val="Body Text"/>
    <w:basedOn w:val="a"/>
    <w:uiPriority w:val="1"/>
    <w:qFormat/>
    <w:rPr>
      <w:rFonts w:ascii="Calibri" w:eastAsia="Calibri" w:hAnsi="Calibri" w:cs="Calibri"/>
      <w:sz w:val="16"/>
      <w:szCs w:val="16"/>
    </w:rPr>
  </w:style>
  <w:style w:type="paragraph" w:styleId="a8">
    <w:name w:val="List"/>
    <w:basedOn w:val="a7"/>
    <w:rPr>
      <w:rFonts w:cs="Lohit Devanagari"/>
    </w:rPr>
  </w:style>
  <w:style w:type="paragraph" w:styleId="a9">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a">
    <w:name w:val="Title"/>
    <w:basedOn w:val="a"/>
    <w:uiPriority w:val="10"/>
    <w:qFormat/>
    <w:pPr>
      <w:ind w:left="2969" w:right="3060"/>
      <w:jc w:val="center"/>
    </w:pPr>
    <w:rPr>
      <w:b/>
      <w:bCs/>
      <w:sz w:val="20"/>
      <w:szCs w:val="20"/>
    </w:rPr>
  </w:style>
  <w:style w:type="paragraph" w:styleId="ab">
    <w:name w:val="List Paragraph"/>
    <w:basedOn w:val="a"/>
    <w:uiPriority w:val="34"/>
    <w:qFormat/>
  </w:style>
  <w:style w:type="paragraph" w:customStyle="1" w:styleId="TableParagraph">
    <w:name w:val="Table Paragraph"/>
    <w:basedOn w:val="a"/>
    <w:uiPriority w:val="1"/>
    <w:qFormat/>
    <w:pPr>
      <w:ind w:left="107"/>
    </w:pPr>
  </w:style>
  <w:style w:type="paragraph" w:customStyle="1" w:styleId="HeaderandFooter">
    <w:name w:val="Header and Footer"/>
    <w:basedOn w:val="a"/>
    <w:qFormat/>
  </w:style>
  <w:style w:type="paragraph" w:styleId="a4">
    <w:name w:val="header"/>
    <w:basedOn w:val="a"/>
    <w:link w:val="a3"/>
    <w:uiPriority w:val="99"/>
    <w:unhideWhenUsed/>
    <w:rsid w:val="000944AA"/>
    <w:pPr>
      <w:tabs>
        <w:tab w:val="center" w:pos="4677"/>
        <w:tab w:val="right" w:pos="9355"/>
      </w:tabs>
    </w:pPr>
  </w:style>
  <w:style w:type="paragraph" w:styleId="a6">
    <w:name w:val="footer"/>
    <w:basedOn w:val="a"/>
    <w:link w:val="a5"/>
    <w:uiPriority w:val="99"/>
    <w:unhideWhenUsed/>
    <w:rsid w:val="000944AA"/>
    <w:pPr>
      <w:tabs>
        <w:tab w:val="center" w:pos="4677"/>
        <w:tab w:val="right" w:pos="9355"/>
      </w:tabs>
    </w:pPr>
  </w:style>
  <w:style w:type="paragraph" w:customStyle="1" w:styleId="BasicParagraph">
    <w:name w:val="[Basic Paragraph]"/>
    <w:basedOn w:val="a"/>
    <w:uiPriority w:val="99"/>
    <w:qFormat/>
    <w:rsid w:val="000944AA"/>
    <w:pPr>
      <w:widowControl/>
      <w:spacing w:line="288" w:lineRule="auto"/>
      <w:textAlignment w:val="center"/>
    </w:pPr>
    <w:rPr>
      <w:rFonts w:ascii="GoodPro" w:eastAsiaTheme="minorHAnsi" w:hAnsi="GoodPro" w:cs="GoodPro"/>
      <w:color w:val="000000"/>
      <w:sz w:val="14"/>
      <w:szCs w:val="14"/>
    </w:rPr>
  </w:style>
  <w:style w:type="paragraph" w:customStyle="1" w:styleId="FrameContents">
    <w:name w:val="Frame Contents"/>
    <w:basedOn w:val="a"/>
    <w:qFormat/>
  </w:style>
  <w:style w:type="table" w:styleId="ac">
    <w:name w:val="Table Grid"/>
    <w:basedOn w:val="a1"/>
    <w:uiPriority w:val="59"/>
    <w:rsid w:val="00EE1373"/>
    <w:pPr>
      <w:suppressAutoHyphens w:val="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8B26D1"/>
    <w:rPr>
      <w:color w:val="0000FF" w:themeColor="hyperlink"/>
      <w:u w:val="single"/>
    </w:rPr>
  </w:style>
  <w:style w:type="character" w:customStyle="1" w:styleId="10">
    <w:name w:val="Заголовок 1 Знак"/>
    <w:basedOn w:val="a0"/>
    <w:link w:val="1"/>
    <w:uiPriority w:val="9"/>
    <w:rsid w:val="00D82689"/>
    <w:rPr>
      <w:rFonts w:ascii="Aptos" w:eastAsiaTheme="majorEastAsia" w:hAnsi="Aptos" w:cstheme="majorBidi"/>
      <w:b/>
      <w:bCs/>
      <w:color w:val="365F91" w:themeColor="accent1" w:themeShade="BF"/>
      <w:sz w:val="28"/>
      <w:szCs w:val="28"/>
      <w:lang w:val="ru-RU" w:eastAsia="zh-CN"/>
    </w:rPr>
  </w:style>
  <w:style w:type="paragraph" w:customStyle="1" w:styleId="-11">
    <w:name w:val="Цветной список - Акцент 11"/>
    <w:basedOn w:val="a"/>
    <w:qFormat/>
    <w:rsid w:val="00984775"/>
    <w:pPr>
      <w:widowControl/>
      <w:ind w:left="720" w:hanging="360"/>
      <w:contextualSpacing/>
    </w:pPr>
    <w:rPr>
      <w:rFonts w:ascii="Times New Roman" w:eastAsia="SimSun" w:hAnsi="Times New Roman" w:cs="Times New Roman"/>
      <w:sz w:val="20"/>
      <w:szCs w:val="20"/>
      <w:lang w:val="ru-RU" w:eastAsia="zh-CN"/>
    </w:rPr>
  </w:style>
  <w:style w:type="paragraph" w:customStyle="1" w:styleId="31">
    <w:name w:val="Основной текст с отступом 31"/>
    <w:basedOn w:val="a"/>
    <w:qFormat/>
    <w:rsid w:val="00984775"/>
    <w:pPr>
      <w:widowControl/>
      <w:spacing w:before="100" w:after="120"/>
      <w:ind w:left="283"/>
    </w:pPr>
    <w:rPr>
      <w:rFonts w:ascii="Times New Roman" w:eastAsia="SimSun" w:hAnsi="Times New Roman" w:cs="Times New Roman"/>
      <w:sz w:val="16"/>
      <w:szCs w:val="16"/>
      <w:lang w:val="ru-RU" w:eastAsia="zh-CN"/>
    </w:rPr>
  </w:style>
  <w:style w:type="character" w:styleId="ae">
    <w:name w:val="Unresolved Mention"/>
    <w:basedOn w:val="a0"/>
    <w:uiPriority w:val="99"/>
    <w:semiHidden/>
    <w:unhideWhenUsed/>
    <w:rsid w:val="00984775"/>
    <w:rPr>
      <w:color w:val="605E5C"/>
      <w:shd w:val="clear" w:color="auto" w:fill="E1DFDD"/>
    </w:rPr>
  </w:style>
  <w:style w:type="character" w:styleId="af">
    <w:name w:val="FollowedHyperlink"/>
    <w:basedOn w:val="a0"/>
    <w:uiPriority w:val="99"/>
    <w:semiHidden/>
    <w:unhideWhenUsed/>
    <w:rsid w:val="00C47FD1"/>
    <w:rPr>
      <w:color w:val="800080" w:themeColor="followedHyperlink"/>
      <w:u w:val="single"/>
    </w:rPr>
  </w:style>
  <w:style w:type="paragraph" w:styleId="af0">
    <w:name w:val="footnote text"/>
    <w:basedOn w:val="a"/>
    <w:link w:val="af1"/>
    <w:uiPriority w:val="99"/>
    <w:unhideWhenUsed/>
    <w:rsid w:val="00C47FD1"/>
    <w:rPr>
      <w:sz w:val="20"/>
      <w:szCs w:val="20"/>
    </w:rPr>
  </w:style>
  <w:style w:type="character" w:customStyle="1" w:styleId="af1">
    <w:name w:val="Текст сноски Знак"/>
    <w:basedOn w:val="a0"/>
    <w:link w:val="af0"/>
    <w:uiPriority w:val="99"/>
    <w:qFormat/>
    <w:rsid w:val="00C47FD1"/>
    <w:rPr>
      <w:rFonts w:ascii="Arial" w:eastAsia="Arial" w:hAnsi="Arial" w:cs="Arial"/>
      <w:sz w:val="20"/>
      <w:szCs w:val="20"/>
    </w:rPr>
  </w:style>
  <w:style w:type="character" w:styleId="af2">
    <w:name w:val="footnote reference"/>
    <w:basedOn w:val="a0"/>
    <w:uiPriority w:val="99"/>
    <w:unhideWhenUsed/>
    <w:rsid w:val="00C47FD1"/>
    <w:rPr>
      <w:vertAlign w:val="superscript"/>
    </w:rPr>
  </w:style>
  <w:style w:type="character" w:customStyle="1" w:styleId="20">
    <w:name w:val="Заголовок 2 Знак"/>
    <w:basedOn w:val="a0"/>
    <w:link w:val="2"/>
    <w:uiPriority w:val="9"/>
    <w:rsid w:val="004A438E"/>
    <w:rPr>
      <w:rFonts w:ascii="Aptos" w:eastAsiaTheme="majorEastAsia" w:hAnsi="Aptos" w:cstheme="majorBidi"/>
      <w:b/>
      <w:bCs/>
      <w:color w:val="365F91" w:themeColor="accent1" w:themeShade="BF"/>
      <w:sz w:val="26"/>
      <w:szCs w:val="26"/>
    </w:rPr>
  </w:style>
  <w:style w:type="character" w:customStyle="1" w:styleId="30">
    <w:name w:val="Заголовок 3 Знак"/>
    <w:basedOn w:val="a0"/>
    <w:link w:val="3"/>
    <w:uiPriority w:val="9"/>
    <w:rsid w:val="004A438E"/>
    <w:rPr>
      <w:rFonts w:ascii="Aptos" w:eastAsiaTheme="majorEastAsia" w:hAnsi="Aptos" w:cstheme="majorBidi"/>
      <w:color w:val="243F60" w:themeColor="accent1" w:themeShade="7F"/>
      <w:sz w:val="24"/>
      <w:szCs w:val="24"/>
    </w:rPr>
  </w:style>
  <w:style w:type="character" w:customStyle="1" w:styleId="FootnoteCharacters">
    <w:name w:val="Footnote Characters"/>
    <w:basedOn w:val="a0"/>
    <w:uiPriority w:val="99"/>
    <w:semiHidden/>
    <w:unhideWhenUsed/>
    <w:qFormat/>
    <w:rsid w:val="00886F84"/>
    <w:rPr>
      <w:vertAlign w:val="superscript"/>
    </w:rPr>
  </w:style>
  <w:style w:type="character" w:customStyle="1" w:styleId="FootnoteAnchor">
    <w:name w:val="Footnote Anchor"/>
    <w:rsid w:val="00886F84"/>
    <w:rPr>
      <w:vertAlign w:val="superscript"/>
    </w:rPr>
  </w:style>
  <w:style w:type="paragraph" w:styleId="af3">
    <w:name w:val="endnote text"/>
    <w:basedOn w:val="a"/>
    <w:link w:val="af4"/>
    <w:uiPriority w:val="99"/>
    <w:semiHidden/>
    <w:unhideWhenUsed/>
    <w:rsid w:val="004F0F8B"/>
    <w:rPr>
      <w:sz w:val="20"/>
      <w:szCs w:val="20"/>
    </w:rPr>
  </w:style>
  <w:style w:type="character" w:customStyle="1" w:styleId="af4">
    <w:name w:val="Текст концевой сноски Знак"/>
    <w:basedOn w:val="a0"/>
    <w:link w:val="af3"/>
    <w:uiPriority w:val="99"/>
    <w:semiHidden/>
    <w:rsid w:val="004F0F8B"/>
    <w:rPr>
      <w:rFonts w:ascii="Aptos" w:eastAsia="Arial" w:hAnsi="Aptos" w:cs="Arial"/>
      <w:sz w:val="20"/>
      <w:szCs w:val="20"/>
    </w:rPr>
  </w:style>
  <w:style w:type="character" w:styleId="af5">
    <w:name w:val="endnote reference"/>
    <w:basedOn w:val="a0"/>
    <w:uiPriority w:val="99"/>
    <w:unhideWhenUsed/>
    <w:rsid w:val="004F0F8B"/>
    <w:rPr>
      <w:vertAlign w:val="superscript"/>
    </w:rPr>
  </w:style>
  <w:style w:type="paragraph" w:styleId="af6">
    <w:name w:val="Normal (Web)"/>
    <w:basedOn w:val="a"/>
    <w:uiPriority w:val="99"/>
    <w:semiHidden/>
    <w:unhideWhenUsed/>
    <w:rsid w:val="00056E3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7765">
      <w:bodyDiv w:val="1"/>
      <w:marLeft w:val="0"/>
      <w:marRight w:val="0"/>
      <w:marTop w:val="0"/>
      <w:marBottom w:val="0"/>
      <w:divBdr>
        <w:top w:val="none" w:sz="0" w:space="0" w:color="auto"/>
        <w:left w:val="none" w:sz="0" w:space="0" w:color="auto"/>
        <w:bottom w:val="none" w:sz="0" w:space="0" w:color="auto"/>
        <w:right w:val="none" w:sz="0" w:space="0" w:color="auto"/>
      </w:divBdr>
      <w:divsChild>
        <w:div w:id="1539270296">
          <w:marLeft w:val="0"/>
          <w:marRight w:val="0"/>
          <w:marTop w:val="0"/>
          <w:marBottom w:val="0"/>
          <w:divBdr>
            <w:top w:val="none" w:sz="0" w:space="0" w:color="auto"/>
            <w:left w:val="none" w:sz="0" w:space="0" w:color="auto"/>
            <w:bottom w:val="none" w:sz="0" w:space="0" w:color="auto"/>
            <w:right w:val="none" w:sz="0" w:space="0" w:color="auto"/>
          </w:divBdr>
          <w:divsChild>
            <w:div w:id="1265963031">
              <w:marLeft w:val="0"/>
              <w:marRight w:val="0"/>
              <w:marTop w:val="0"/>
              <w:marBottom w:val="0"/>
              <w:divBdr>
                <w:top w:val="none" w:sz="0" w:space="0" w:color="auto"/>
                <w:left w:val="none" w:sz="0" w:space="0" w:color="auto"/>
                <w:bottom w:val="none" w:sz="0" w:space="0" w:color="auto"/>
                <w:right w:val="none" w:sz="0" w:space="0" w:color="auto"/>
              </w:divBdr>
              <w:divsChild>
                <w:div w:id="567574155">
                  <w:marLeft w:val="0"/>
                  <w:marRight w:val="0"/>
                  <w:marTop w:val="0"/>
                  <w:marBottom w:val="0"/>
                  <w:divBdr>
                    <w:top w:val="none" w:sz="0" w:space="0" w:color="auto"/>
                    <w:left w:val="none" w:sz="0" w:space="0" w:color="auto"/>
                    <w:bottom w:val="none" w:sz="0" w:space="0" w:color="auto"/>
                    <w:right w:val="none" w:sz="0" w:space="0" w:color="auto"/>
                  </w:divBdr>
                  <w:divsChild>
                    <w:div w:id="12486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26522">
      <w:bodyDiv w:val="1"/>
      <w:marLeft w:val="0"/>
      <w:marRight w:val="0"/>
      <w:marTop w:val="0"/>
      <w:marBottom w:val="0"/>
      <w:divBdr>
        <w:top w:val="none" w:sz="0" w:space="0" w:color="auto"/>
        <w:left w:val="none" w:sz="0" w:space="0" w:color="auto"/>
        <w:bottom w:val="none" w:sz="0" w:space="0" w:color="auto"/>
        <w:right w:val="none" w:sz="0" w:space="0" w:color="auto"/>
      </w:divBdr>
      <w:divsChild>
        <w:div w:id="862328466">
          <w:marLeft w:val="0"/>
          <w:marRight w:val="0"/>
          <w:marTop w:val="0"/>
          <w:marBottom w:val="0"/>
          <w:divBdr>
            <w:top w:val="single" w:sz="2" w:space="9" w:color="auto"/>
            <w:left w:val="single" w:sz="2" w:space="0" w:color="auto"/>
            <w:bottom w:val="single" w:sz="2" w:space="9" w:color="auto"/>
            <w:right w:val="single" w:sz="2" w:space="0" w:color="auto"/>
          </w:divBdr>
          <w:divsChild>
            <w:div w:id="1732002325">
              <w:marLeft w:val="0"/>
              <w:marRight w:val="0"/>
              <w:marTop w:val="0"/>
              <w:marBottom w:val="0"/>
              <w:divBdr>
                <w:top w:val="single" w:sz="2" w:space="0" w:color="auto"/>
                <w:left w:val="single" w:sz="2" w:space="0" w:color="auto"/>
                <w:bottom w:val="single" w:sz="2" w:space="0" w:color="auto"/>
                <w:right w:val="single" w:sz="2" w:space="0" w:color="auto"/>
              </w:divBdr>
              <w:divsChild>
                <w:div w:id="16199935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89847970">
          <w:marLeft w:val="0"/>
          <w:marRight w:val="0"/>
          <w:marTop w:val="0"/>
          <w:marBottom w:val="0"/>
          <w:divBdr>
            <w:top w:val="single" w:sz="2" w:space="9" w:color="auto"/>
            <w:left w:val="single" w:sz="2" w:space="0" w:color="auto"/>
            <w:bottom w:val="single" w:sz="2" w:space="9" w:color="auto"/>
            <w:right w:val="single" w:sz="2" w:space="0" w:color="auto"/>
          </w:divBdr>
        </w:div>
      </w:divsChild>
    </w:div>
    <w:div w:id="427165720">
      <w:bodyDiv w:val="1"/>
      <w:marLeft w:val="0"/>
      <w:marRight w:val="0"/>
      <w:marTop w:val="0"/>
      <w:marBottom w:val="0"/>
      <w:divBdr>
        <w:top w:val="none" w:sz="0" w:space="0" w:color="auto"/>
        <w:left w:val="none" w:sz="0" w:space="0" w:color="auto"/>
        <w:bottom w:val="none" w:sz="0" w:space="0" w:color="auto"/>
        <w:right w:val="none" w:sz="0" w:space="0" w:color="auto"/>
      </w:divBdr>
      <w:divsChild>
        <w:div w:id="1150512647">
          <w:marLeft w:val="0"/>
          <w:marRight w:val="0"/>
          <w:marTop w:val="0"/>
          <w:marBottom w:val="0"/>
          <w:divBdr>
            <w:top w:val="none" w:sz="0" w:space="0" w:color="auto"/>
            <w:left w:val="none" w:sz="0" w:space="0" w:color="auto"/>
            <w:bottom w:val="none" w:sz="0" w:space="0" w:color="auto"/>
            <w:right w:val="none" w:sz="0" w:space="0" w:color="auto"/>
          </w:divBdr>
          <w:divsChild>
            <w:div w:id="2824055">
              <w:marLeft w:val="0"/>
              <w:marRight w:val="0"/>
              <w:marTop w:val="0"/>
              <w:marBottom w:val="0"/>
              <w:divBdr>
                <w:top w:val="none" w:sz="0" w:space="0" w:color="auto"/>
                <w:left w:val="none" w:sz="0" w:space="0" w:color="auto"/>
                <w:bottom w:val="none" w:sz="0" w:space="0" w:color="auto"/>
                <w:right w:val="none" w:sz="0" w:space="0" w:color="auto"/>
              </w:divBdr>
              <w:divsChild>
                <w:div w:id="1676610567">
                  <w:marLeft w:val="0"/>
                  <w:marRight w:val="0"/>
                  <w:marTop w:val="0"/>
                  <w:marBottom w:val="0"/>
                  <w:divBdr>
                    <w:top w:val="none" w:sz="0" w:space="0" w:color="auto"/>
                    <w:left w:val="none" w:sz="0" w:space="0" w:color="auto"/>
                    <w:bottom w:val="none" w:sz="0" w:space="0" w:color="auto"/>
                    <w:right w:val="none" w:sz="0" w:space="0" w:color="auto"/>
                  </w:divBdr>
                  <w:divsChild>
                    <w:div w:id="50038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432922">
      <w:bodyDiv w:val="1"/>
      <w:marLeft w:val="0"/>
      <w:marRight w:val="0"/>
      <w:marTop w:val="0"/>
      <w:marBottom w:val="0"/>
      <w:divBdr>
        <w:top w:val="none" w:sz="0" w:space="0" w:color="auto"/>
        <w:left w:val="none" w:sz="0" w:space="0" w:color="auto"/>
        <w:bottom w:val="none" w:sz="0" w:space="0" w:color="auto"/>
        <w:right w:val="none" w:sz="0" w:space="0" w:color="auto"/>
      </w:divBdr>
      <w:divsChild>
        <w:div w:id="623729183">
          <w:marLeft w:val="0"/>
          <w:marRight w:val="0"/>
          <w:marTop w:val="0"/>
          <w:marBottom w:val="0"/>
          <w:divBdr>
            <w:top w:val="single" w:sz="2" w:space="9" w:color="auto"/>
            <w:left w:val="single" w:sz="2" w:space="0" w:color="auto"/>
            <w:bottom w:val="single" w:sz="2" w:space="9" w:color="auto"/>
            <w:right w:val="single" w:sz="2" w:space="0" w:color="auto"/>
          </w:divBdr>
          <w:divsChild>
            <w:div w:id="992834722">
              <w:marLeft w:val="0"/>
              <w:marRight w:val="0"/>
              <w:marTop w:val="0"/>
              <w:marBottom w:val="0"/>
              <w:divBdr>
                <w:top w:val="single" w:sz="2" w:space="0" w:color="auto"/>
                <w:left w:val="single" w:sz="2" w:space="0" w:color="auto"/>
                <w:bottom w:val="single" w:sz="2" w:space="0" w:color="auto"/>
                <w:right w:val="single" w:sz="2" w:space="0" w:color="auto"/>
              </w:divBdr>
              <w:divsChild>
                <w:div w:id="20716849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73976101">
          <w:marLeft w:val="0"/>
          <w:marRight w:val="0"/>
          <w:marTop w:val="0"/>
          <w:marBottom w:val="0"/>
          <w:divBdr>
            <w:top w:val="single" w:sz="2" w:space="9" w:color="auto"/>
            <w:left w:val="single" w:sz="2" w:space="0" w:color="auto"/>
            <w:bottom w:val="single" w:sz="2" w:space="9" w:color="auto"/>
            <w:right w:val="single" w:sz="2" w:space="0" w:color="auto"/>
          </w:divBdr>
        </w:div>
      </w:divsChild>
    </w:div>
    <w:div w:id="1175729361">
      <w:bodyDiv w:val="1"/>
      <w:marLeft w:val="0"/>
      <w:marRight w:val="0"/>
      <w:marTop w:val="0"/>
      <w:marBottom w:val="0"/>
      <w:divBdr>
        <w:top w:val="none" w:sz="0" w:space="0" w:color="auto"/>
        <w:left w:val="none" w:sz="0" w:space="0" w:color="auto"/>
        <w:bottom w:val="none" w:sz="0" w:space="0" w:color="auto"/>
        <w:right w:val="none" w:sz="0" w:space="0" w:color="auto"/>
      </w:divBdr>
    </w:div>
    <w:div w:id="1430587810">
      <w:bodyDiv w:val="1"/>
      <w:marLeft w:val="0"/>
      <w:marRight w:val="0"/>
      <w:marTop w:val="0"/>
      <w:marBottom w:val="0"/>
      <w:divBdr>
        <w:top w:val="none" w:sz="0" w:space="0" w:color="auto"/>
        <w:left w:val="none" w:sz="0" w:space="0" w:color="auto"/>
        <w:bottom w:val="none" w:sz="0" w:space="0" w:color="auto"/>
        <w:right w:val="none" w:sz="0" w:space="0" w:color="auto"/>
      </w:divBdr>
      <w:divsChild>
        <w:div w:id="26027254">
          <w:marLeft w:val="0"/>
          <w:marRight w:val="0"/>
          <w:marTop w:val="0"/>
          <w:marBottom w:val="0"/>
          <w:divBdr>
            <w:top w:val="none" w:sz="0" w:space="0" w:color="auto"/>
            <w:left w:val="none" w:sz="0" w:space="0" w:color="auto"/>
            <w:bottom w:val="none" w:sz="0" w:space="0" w:color="auto"/>
            <w:right w:val="none" w:sz="0" w:space="0" w:color="auto"/>
          </w:divBdr>
        </w:div>
        <w:div w:id="410932279">
          <w:marLeft w:val="0"/>
          <w:marRight w:val="0"/>
          <w:marTop w:val="0"/>
          <w:marBottom w:val="0"/>
          <w:divBdr>
            <w:top w:val="none" w:sz="0" w:space="0" w:color="auto"/>
            <w:left w:val="none" w:sz="0" w:space="0" w:color="auto"/>
            <w:bottom w:val="none" w:sz="0" w:space="0" w:color="auto"/>
            <w:right w:val="none" w:sz="0" w:space="0" w:color="auto"/>
          </w:divBdr>
        </w:div>
        <w:div w:id="1056968954">
          <w:marLeft w:val="0"/>
          <w:marRight w:val="0"/>
          <w:marTop w:val="0"/>
          <w:marBottom w:val="0"/>
          <w:divBdr>
            <w:top w:val="none" w:sz="0" w:space="0" w:color="auto"/>
            <w:left w:val="none" w:sz="0" w:space="0" w:color="auto"/>
            <w:bottom w:val="none" w:sz="0" w:space="0" w:color="auto"/>
            <w:right w:val="none" w:sz="0" w:space="0" w:color="auto"/>
          </w:divBdr>
        </w:div>
        <w:div w:id="1100177609">
          <w:marLeft w:val="0"/>
          <w:marRight w:val="0"/>
          <w:marTop w:val="0"/>
          <w:marBottom w:val="0"/>
          <w:divBdr>
            <w:top w:val="none" w:sz="0" w:space="0" w:color="auto"/>
            <w:left w:val="none" w:sz="0" w:space="0" w:color="auto"/>
            <w:bottom w:val="none" w:sz="0" w:space="0" w:color="auto"/>
            <w:right w:val="none" w:sz="0" w:space="0" w:color="auto"/>
          </w:divBdr>
        </w:div>
        <w:div w:id="1153595318">
          <w:marLeft w:val="0"/>
          <w:marRight w:val="0"/>
          <w:marTop w:val="0"/>
          <w:marBottom w:val="0"/>
          <w:divBdr>
            <w:top w:val="none" w:sz="0" w:space="0" w:color="auto"/>
            <w:left w:val="none" w:sz="0" w:space="0" w:color="auto"/>
            <w:bottom w:val="none" w:sz="0" w:space="0" w:color="auto"/>
            <w:right w:val="none" w:sz="0" w:space="0" w:color="auto"/>
          </w:divBdr>
        </w:div>
        <w:div w:id="1359771595">
          <w:marLeft w:val="0"/>
          <w:marRight w:val="0"/>
          <w:marTop w:val="0"/>
          <w:marBottom w:val="0"/>
          <w:divBdr>
            <w:top w:val="none" w:sz="0" w:space="0" w:color="auto"/>
            <w:left w:val="none" w:sz="0" w:space="0" w:color="auto"/>
            <w:bottom w:val="none" w:sz="0" w:space="0" w:color="auto"/>
            <w:right w:val="none" w:sz="0" w:space="0" w:color="auto"/>
          </w:divBdr>
        </w:div>
        <w:div w:id="1468662173">
          <w:marLeft w:val="0"/>
          <w:marRight w:val="0"/>
          <w:marTop w:val="0"/>
          <w:marBottom w:val="0"/>
          <w:divBdr>
            <w:top w:val="none" w:sz="0" w:space="0" w:color="auto"/>
            <w:left w:val="none" w:sz="0" w:space="0" w:color="auto"/>
            <w:bottom w:val="none" w:sz="0" w:space="0" w:color="auto"/>
            <w:right w:val="none" w:sz="0" w:space="0" w:color="auto"/>
          </w:divBdr>
        </w:div>
        <w:div w:id="1653631610">
          <w:marLeft w:val="0"/>
          <w:marRight w:val="0"/>
          <w:marTop w:val="0"/>
          <w:marBottom w:val="0"/>
          <w:divBdr>
            <w:top w:val="none" w:sz="0" w:space="0" w:color="auto"/>
            <w:left w:val="none" w:sz="0" w:space="0" w:color="auto"/>
            <w:bottom w:val="none" w:sz="0" w:space="0" w:color="auto"/>
            <w:right w:val="none" w:sz="0" w:space="0" w:color="auto"/>
          </w:divBdr>
        </w:div>
        <w:div w:id="1702125287">
          <w:marLeft w:val="0"/>
          <w:marRight w:val="0"/>
          <w:marTop w:val="0"/>
          <w:marBottom w:val="0"/>
          <w:divBdr>
            <w:top w:val="none" w:sz="0" w:space="0" w:color="auto"/>
            <w:left w:val="none" w:sz="0" w:space="0" w:color="auto"/>
            <w:bottom w:val="none" w:sz="0" w:space="0" w:color="auto"/>
            <w:right w:val="none" w:sz="0" w:space="0" w:color="auto"/>
          </w:divBdr>
        </w:div>
        <w:div w:id="1761024682">
          <w:marLeft w:val="0"/>
          <w:marRight w:val="0"/>
          <w:marTop w:val="0"/>
          <w:marBottom w:val="0"/>
          <w:divBdr>
            <w:top w:val="none" w:sz="0" w:space="0" w:color="auto"/>
            <w:left w:val="none" w:sz="0" w:space="0" w:color="auto"/>
            <w:bottom w:val="none" w:sz="0" w:space="0" w:color="auto"/>
            <w:right w:val="none" w:sz="0" w:space="0" w:color="auto"/>
          </w:divBdr>
        </w:div>
        <w:div w:id="1862475439">
          <w:marLeft w:val="0"/>
          <w:marRight w:val="0"/>
          <w:marTop w:val="0"/>
          <w:marBottom w:val="0"/>
          <w:divBdr>
            <w:top w:val="none" w:sz="0" w:space="0" w:color="auto"/>
            <w:left w:val="none" w:sz="0" w:space="0" w:color="auto"/>
            <w:bottom w:val="none" w:sz="0" w:space="0" w:color="auto"/>
            <w:right w:val="none" w:sz="0" w:space="0" w:color="auto"/>
          </w:divBdr>
        </w:div>
        <w:div w:id="1869173535">
          <w:marLeft w:val="0"/>
          <w:marRight w:val="0"/>
          <w:marTop w:val="0"/>
          <w:marBottom w:val="0"/>
          <w:divBdr>
            <w:top w:val="none" w:sz="0" w:space="0" w:color="auto"/>
            <w:left w:val="none" w:sz="0" w:space="0" w:color="auto"/>
            <w:bottom w:val="none" w:sz="0" w:space="0" w:color="auto"/>
            <w:right w:val="none" w:sz="0" w:space="0" w:color="auto"/>
          </w:divBdr>
        </w:div>
        <w:div w:id="1877086251">
          <w:marLeft w:val="0"/>
          <w:marRight w:val="0"/>
          <w:marTop w:val="0"/>
          <w:marBottom w:val="0"/>
          <w:divBdr>
            <w:top w:val="none" w:sz="0" w:space="0" w:color="auto"/>
            <w:left w:val="none" w:sz="0" w:space="0" w:color="auto"/>
            <w:bottom w:val="none" w:sz="0" w:space="0" w:color="auto"/>
            <w:right w:val="none" w:sz="0" w:space="0" w:color="auto"/>
          </w:divBdr>
        </w:div>
        <w:div w:id="1928423123">
          <w:marLeft w:val="0"/>
          <w:marRight w:val="0"/>
          <w:marTop w:val="0"/>
          <w:marBottom w:val="0"/>
          <w:divBdr>
            <w:top w:val="none" w:sz="0" w:space="0" w:color="auto"/>
            <w:left w:val="none" w:sz="0" w:space="0" w:color="auto"/>
            <w:bottom w:val="none" w:sz="0" w:space="0" w:color="auto"/>
            <w:right w:val="none" w:sz="0" w:space="0" w:color="auto"/>
          </w:divBdr>
        </w:div>
        <w:div w:id="1999571017">
          <w:marLeft w:val="0"/>
          <w:marRight w:val="0"/>
          <w:marTop w:val="0"/>
          <w:marBottom w:val="0"/>
          <w:divBdr>
            <w:top w:val="none" w:sz="0" w:space="0" w:color="auto"/>
            <w:left w:val="none" w:sz="0" w:space="0" w:color="auto"/>
            <w:bottom w:val="none" w:sz="0" w:space="0" w:color="auto"/>
            <w:right w:val="none" w:sz="0" w:space="0" w:color="auto"/>
          </w:divBdr>
        </w:div>
        <w:div w:id="2044744552">
          <w:marLeft w:val="0"/>
          <w:marRight w:val="0"/>
          <w:marTop w:val="0"/>
          <w:marBottom w:val="0"/>
          <w:divBdr>
            <w:top w:val="none" w:sz="0" w:space="0" w:color="auto"/>
            <w:left w:val="none" w:sz="0" w:space="0" w:color="auto"/>
            <w:bottom w:val="none" w:sz="0" w:space="0" w:color="auto"/>
            <w:right w:val="none" w:sz="0" w:space="0" w:color="auto"/>
          </w:divBdr>
        </w:div>
        <w:div w:id="2081828169">
          <w:marLeft w:val="0"/>
          <w:marRight w:val="0"/>
          <w:marTop w:val="0"/>
          <w:marBottom w:val="0"/>
          <w:divBdr>
            <w:top w:val="none" w:sz="0" w:space="0" w:color="auto"/>
            <w:left w:val="none" w:sz="0" w:space="0" w:color="auto"/>
            <w:bottom w:val="none" w:sz="0" w:space="0" w:color="auto"/>
            <w:right w:val="none" w:sz="0" w:space="0" w:color="auto"/>
          </w:divBdr>
        </w:div>
      </w:divsChild>
    </w:div>
    <w:div w:id="1707635704">
      <w:bodyDiv w:val="1"/>
      <w:marLeft w:val="0"/>
      <w:marRight w:val="0"/>
      <w:marTop w:val="0"/>
      <w:marBottom w:val="0"/>
      <w:divBdr>
        <w:top w:val="none" w:sz="0" w:space="0" w:color="auto"/>
        <w:left w:val="none" w:sz="0" w:space="0" w:color="auto"/>
        <w:bottom w:val="none" w:sz="0" w:space="0" w:color="auto"/>
        <w:right w:val="none" w:sz="0" w:space="0" w:color="auto"/>
      </w:divBdr>
    </w:div>
    <w:div w:id="2052875476">
      <w:bodyDiv w:val="1"/>
      <w:marLeft w:val="0"/>
      <w:marRight w:val="0"/>
      <w:marTop w:val="0"/>
      <w:marBottom w:val="0"/>
      <w:divBdr>
        <w:top w:val="none" w:sz="0" w:space="0" w:color="auto"/>
        <w:left w:val="none" w:sz="0" w:space="0" w:color="auto"/>
        <w:bottom w:val="none" w:sz="0" w:space="0" w:color="auto"/>
        <w:right w:val="none" w:sz="0" w:space="0" w:color="auto"/>
      </w:divBdr>
      <w:divsChild>
        <w:div w:id="156043031">
          <w:marLeft w:val="0"/>
          <w:marRight w:val="0"/>
          <w:marTop w:val="0"/>
          <w:marBottom w:val="0"/>
          <w:divBdr>
            <w:top w:val="none" w:sz="0" w:space="0" w:color="auto"/>
            <w:left w:val="none" w:sz="0" w:space="0" w:color="auto"/>
            <w:bottom w:val="none" w:sz="0" w:space="0" w:color="auto"/>
            <w:right w:val="none" w:sz="0" w:space="0" w:color="auto"/>
          </w:divBdr>
          <w:divsChild>
            <w:div w:id="2070765064">
              <w:marLeft w:val="0"/>
              <w:marRight w:val="0"/>
              <w:marTop w:val="0"/>
              <w:marBottom w:val="0"/>
              <w:divBdr>
                <w:top w:val="none" w:sz="0" w:space="0" w:color="auto"/>
                <w:left w:val="none" w:sz="0" w:space="0" w:color="auto"/>
                <w:bottom w:val="none" w:sz="0" w:space="0" w:color="auto"/>
                <w:right w:val="none" w:sz="0" w:space="0" w:color="auto"/>
              </w:divBdr>
              <w:divsChild>
                <w:div w:id="1330401212">
                  <w:marLeft w:val="0"/>
                  <w:marRight w:val="0"/>
                  <w:marTop w:val="0"/>
                  <w:marBottom w:val="0"/>
                  <w:divBdr>
                    <w:top w:val="none" w:sz="0" w:space="0" w:color="auto"/>
                    <w:left w:val="none" w:sz="0" w:space="0" w:color="auto"/>
                    <w:bottom w:val="none" w:sz="0" w:space="0" w:color="auto"/>
                    <w:right w:val="none" w:sz="0" w:space="0" w:color="auto"/>
                  </w:divBdr>
                  <w:divsChild>
                    <w:div w:id="138271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qg.com/partners/exchanges/monthly-fe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qg.com/products/product-comparis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7d7805-7b91-480d-8390-2ccc5ae17610">
      <Terms xmlns="http://schemas.microsoft.com/office/infopath/2007/PartnerControls"/>
    </lcf76f155ced4ddcb4097134ff3c332f>
    <TaxCatchAll xmlns="11b1cfd7-c003-4f87-88eb-d87354b74c6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8E9CC8A0EBA74A8E88BB02D17D0022" ma:contentTypeVersion="11" ma:contentTypeDescription="Create a new document." ma:contentTypeScope="" ma:versionID="92b4213ae11712415e7d9598e65ff3dc">
  <xsd:schema xmlns:xsd="http://www.w3.org/2001/XMLSchema" xmlns:xs="http://www.w3.org/2001/XMLSchema" xmlns:p="http://schemas.microsoft.com/office/2006/metadata/properties" xmlns:ns2="927d7805-7b91-480d-8390-2ccc5ae17610" xmlns:ns3="11b1cfd7-c003-4f87-88eb-d87354b74c6e" targetNamespace="http://schemas.microsoft.com/office/2006/metadata/properties" ma:root="true" ma:fieldsID="db9ffadfd2c6d4c557ea68688429fd0b" ns2:_="" ns3:_="">
    <xsd:import namespace="927d7805-7b91-480d-8390-2ccc5ae17610"/>
    <xsd:import namespace="11b1cfd7-c003-4f87-88eb-d87354b74c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d7805-7b91-480d-8390-2ccc5ae17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ddfd25f-2c6c-46fe-8b91-997c23d0dc1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b1cfd7-c003-4f87-88eb-d87354b74c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17d4537-8b11-479f-ba68-87f00b598742}" ma:internalName="TaxCatchAll" ma:showField="CatchAllData" ma:web="11b1cfd7-c003-4f87-88eb-d87354b74c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9B9C6D-D899-4678-B060-503E466223CE}">
  <ds:schemaRefs>
    <ds:schemaRef ds:uri="http://schemas.openxmlformats.org/officeDocument/2006/bibliography"/>
  </ds:schemaRefs>
</ds:datastoreItem>
</file>

<file path=customXml/itemProps2.xml><?xml version="1.0" encoding="utf-8"?>
<ds:datastoreItem xmlns:ds="http://schemas.openxmlformats.org/officeDocument/2006/customXml" ds:itemID="{98377D6C-B15A-43EE-BD7F-BC4F4C1104ED}">
  <ds:schemaRefs>
    <ds:schemaRef ds:uri="http://schemas.microsoft.com/sharepoint/v3/contenttype/forms"/>
  </ds:schemaRefs>
</ds:datastoreItem>
</file>

<file path=customXml/itemProps3.xml><?xml version="1.0" encoding="utf-8"?>
<ds:datastoreItem xmlns:ds="http://schemas.openxmlformats.org/officeDocument/2006/customXml" ds:itemID="{80C4570D-0B01-40C4-A90C-CE81979545E7}">
  <ds:schemaRefs>
    <ds:schemaRef ds:uri="http://schemas.microsoft.com/office/2006/metadata/properties"/>
    <ds:schemaRef ds:uri="http://schemas.microsoft.com/office/infopath/2007/PartnerControls"/>
    <ds:schemaRef ds:uri="927d7805-7b91-480d-8390-2ccc5ae17610"/>
    <ds:schemaRef ds:uri="11b1cfd7-c003-4f87-88eb-d87354b74c6e"/>
  </ds:schemaRefs>
</ds:datastoreItem>
</file>

<file path=customXml/itemProps4.xml><?xml version="1.0" encoding="utf-8"?>
<ds:datastoreItem xmlns:ds="http://schemas.openxmlformats.org/officeDocument/2006/customXml" ds:itemID="{12D50782-34DD-4F5D-B9D9-504E1EC8471D}"/>
</file>

<file path=docProps/app.xml><?xml version="1.0" encoding="utf-8"?>
<Properties xmlns="http://schemas.openxmlformats.org/officeDocument/2006/extended-properties" xmlns:vt="http://schemas.openxmlformats.org/officeDocument/2006/docPropsVTypes">
  <Template>Normal</Template>
  <TotalTime>11</TotalTime>
  <Pages>5</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Senchenko</dc:creator>
  <cp:keywords/>
  <dc:description/>
  <cp:lastModifiedBy>Assilbek Jumakulov</cp:lastModifiedBy>
  <cp:revision>16</cp:revision>
  <cp:lastPrinted>2024-12-06T14:10:00Z</cp:lastPrinted>
  <dcterms:created xsi:type="dcterms:W3CDTF">2025-06-07T04:30:00Z</dcterms:created>
  <dcterms:modified xsi:type="dcterms:W3CDTF">2026-04-30T06:34:00Z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0x0101005B8E9CC8A0EBA74A8E88BB02D17D0022</vt:lpwstr>
  </property>
  <property fmtid="{D5CDD505-2E9C-101B-9397-08002B2CF9AE}" pid="3" name="Created">
    <vt:filetime>2021-09-27T00:00:00Z</vt:filetime>
  </property>
  <property fmtid="{D5CDD505-2E9C-101B-9397-08002B2CF9AE}" pid="4" name="Creator">
    <vt:lpwstr>Acrobat PDFMaker 21 for Word</vt:lpwstr>
  </property>
  <property fmtid="{D5CDD505-2E9C-101B-9397-08002B2CF9AE}" pid="5" name="LastSaved">
    <vt:filetime>2022-05-26T00:00:00Z</vt:filetime>
  </property>
  <property fmtid="{D5CDD505-2E9C-101B-9397-08002B2CF9AE}" pid="6" name="MSIP_Label_defa4170-0d19-0005-0001-bc88714345d2_ActionId">
    <vt:lpwstr>a147eac1-a6e1-46ed-8f40-8e200326eea9</vt:lpwstr>
  </property>
  <property fmtid="{D5CDD505-2E9C-101B-9397-08002B2CF9AE}" pid="7" name="MSIP_Label_defa4170-0d19-0005-0001-bc88714345d2_ContentBits">
    <vt:lpwstr>0</vt:lpwstr>
  </property>
  <property fmtid="{D5CDD505-2E9C-101B-9397-08002B2CF9AE}" pid="8" name="MSIP_Label_defa4170-0d19-0005-0001-bc88714345d2_Enabled">
    <vt:lpwstr>true</vt:lpwstr>
  </property>
  <property fmtid="{D5CDD505-2E9C-101B-9397-08002B2CF9AE}" pid="9" name="MSIP_Label_defa4170-0d19-0005-0001-bc88714345d2_Method">
    <vt:lpwstr>Privileged</vt:lpwstr>
  </property>
  <property fmtid="{D5CDD505-2E9C-101B-9397-08002B2CF9AE}" pid="10" name="MSIP_Label_defa4170-0d19-0005-0001-bc88714345d2_Name">
    <vt:lpwstr>defa4170-0d19-0005-0001-bc88714345d2</vt:lpwstr>
  </property>
  <property fmtid="{D5CDD505-2E9C-101B-9397-08002B2CF9AE}" pid="11" name="MSIP_Label_defa4170-0d19-0005-0001-bc88714345d2_SetDate">
    <vt:lpwstr>2022-06-20T15:09:41Z</vt:lpwstr>
  </property>
  <property fmtid="{D5CDD505-2E9C-101B-9397-08002B2CF9AE}" pid="12" name="MSIP_Label_defa4170-0d19-0005-0001-bc88714345d2_SiteId">
    <vt:lpwstr>7470e6aa-7ba3-459b-b601-e987fc0a153a</vt:lpwstr>
  </property>
  <property fmtid="{D5CDD505-2E9C-101B-9397-08002B2CF9AE}" pid="13" name="MediaServiceImageTags">
    <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ies>
</file>